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142"/>
        <w:jc w:val="both"/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ind w:right="-142"/>
        <w:jc w:val="both"/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jc w:val="center"/>
        <w:shd w:val="clear" w:fill="FFFFFF" w:color="FFFFFF"/>
        <w:widowControl w:val="off"/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  <w:t xml:space="preserve">EL SECRETARIO DE DESPACHO</w:t>
      </w:r>
      <w:r/>
    </w:p>
    <w:p>
      <w:pPr>
        <w:jc w:val="center"/>
        <w:shd w:val="clear" w:fill="FFFFFF" w:color="FFFFFF"/>
        <w:widowControl w:val="off"/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  <w:t xml:space="preserve">DE LA SECRETARÍA DISTRITAL DE CULTURA, RECREACIÓN Y DEPORTE</w:t>
      </w:r>
      <w:r/>
    </w:p>
    <w:p>
      <w:pPr>
        <w:widowControl w:val="off"/>
        <w:rPr>
          <w:rFonts w:ascii="Times New Roman" w:hAnsi="Times New Roman" w:cs="Times New Roman" w:eastAsia="Times New Roman"/>
          <w:color w:val="000000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</w:rPr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En uso de sus facultades legales y en especial las conferidas en el Decreto Distrital 670 de 2025 “</w:t>
      </w:r>
      <w:r>
        <w:rPr>
          <w:rFonts w:ascii="Times New Roman" w:hAnsi="Times New Roman" w:cs="Times New Roman" w:eastAsia="Times New Roman"/>
          <w:i/>
          <w:iCs/>
        </w:rPr>
        <w:t xml:space="preserve">Por medio del cual se expide el Decreto Único Distrital de Ordenamiento Territorial de Bogotá” </w:t>
      </w:r>
      <w:r>
        <w:rPr>
          <w:rFonts w:ascii="Times New Roman" w:hAnsi="Times New Roman" w:cs="Times New Roman" w:eastAsia="Times New Roman"/>
        </w:rPr>
        <w:t xml:space="preserve">y en el artículo 20 de  la Resolución 503 del 2025 “</w:t>
      </w:r>
      <w:r>
        <w:rPr>
          <w:rFonts w:ascii="Times New Roman" w:hAnsi="Times New Roman" w:cs="Times New Roman" w:eastAsia="Times New Roman"/>
          <w:i/>
          <w:iCs/>
        </w:rPr>
        <w:t xml:space="preserve">Por la cual se adopt</w:t>
      </w:r>
      <w:r>
        <w:rPr>
          <w:rFonts w:ascii="Times New Roman" w:hAnsi="Times New Roman" w:cs="Times New Roman" w:eastAsia="Times New Roman"/>
          <w:i/>
          <w:iCs/>
        </w:rPr>
        <w:t xml:space="preserve">a el protocolo para el aprovechamiento económico de las Actividades Artísticas Reguladas, se establece el procedimiento para la gestión y expedición de permisos, se expiden otras disposiciones y se deja sin efectos la Resolución conjunta No. 787 de 2023” y</w:t>
      </w:r>
      <w:r>
        <w:rPr>
          <w:rFonts w:ascii="Times New Roman" w:hAnsi="Times New Roman" w:cs="Times New Roman" w:eastAsia="Times New Roman"/>
        </w:rPr>
        <w:t xml:space="preserve">,</w:t>
      </w:r>
      <w:r/>
    </w:p>
    <w:p>
      <w:pPr>
        <w:ind w:right="-142"/>
        <w:jc w:val="both"/>
        <w:shd w:val="clear" w:fill="FFFFFF" w:color="FFFFFF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 </w:t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 xml:space="preserve">CONSIDERANDO QUE:</w:t>
      </w:r>
      <w:r/>
    </w:p>
    <w:p>
      <w:pPr>
        <w:ind w:right="-142" w:hanging="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 w:hanging="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El </w:t>
      </w:r>
      <w:r>
        <w:rPr>
          <w:rFonts w:ascii="Times New Roman" w:hAnsi="Times New Roman" w:cs="Times New Roman" w:eastAsia="Times New Roman"/>
          <w:b/>
          <w:bCs/>
        </w:rPr>
        <w:t xml:space="preserve">Acuerdo </w:t>
      </w:r>
      <w:r>
        <w:rPr>
          <w:rFonts w:ascii="Times New Roman" w:hAnsi="Times New Roman" w:cs="Times New Roman" w:eastAsia="Times New Roman"/>
          <w:b/>
          <w:bCs/>
          <w:i/>
          <w:iCs/>
        </w:rPr>
        <w:t xml:space="preserve">257 </w:t>
      </w:r>
      <w:r>
        <w:rPr>
          <w:rFonts w:ascii="Times New Roman" w:hAnsi="Times New Roman" w:cs="Times New Roman" w:eastAsia="Times New Roman"/>
          <w:b/>
          <w:bCs/>
        </w:rPr>
        <w:t xml:space="preserve">de 2006</w:t>
      </w:r>
      <w:r>
        <w:rPr>
          <w:rFonts w:ascii="Times New Roman" w:hAnsi="Times New Roman" w:cs="Times New Roman" w:eastAsia="Times New Roman"/>
        </w:rPr>
        <w:t xml:space="preserve"> </w:t>
      </w:r>
      <w:r>
        <w:rPr>
          <w:rFonts w:ascii="Times New Roman" w:hAnsi="Times New Roman" w:cs="Times New Roman" w:eastAsia="Times New Roman"/>
          <w:i/>
          <w:iCs/>
        </w:rPr>
        <w:t xml:space="preserve">"Por el cual se dictan normas básicas sobre la estructura, organización y funcionamiento de los organismos y de las entidades de Bogotá, Distrito Capital, y se expiden otras disposiciones", </w:t>
      </w:r>
      <w:r>
        <w:rPr>
          <w:rFonts w:ascii="Times New Roman" w:hAnsi="Times New Roman" w:cs="Times New Roman" w:eastAsia="Times New Roman"/>
        </w:rPr>
        <w:t xml:space="preserve">en su </w:t>
      </w:r>
      <w:r>
        <w:rPr>
          <w:rFonts w:ascii="Times New Roman" w:hAnsi="Times New Roman" w:cs="Times New Roman" w:eastAsia="Times New Roman"/>
          <w:b/>
          <w:bCs/>
        </w:rPr>
        <w:t xml:space="preserve">artículo 94 </w:t>
      </w:r>
      <w:r>
        <w:rPr>
          <w:rFonts w:ascii="Times New Roman" w:hAnsi="Times New Roman" w:cs="Times New Roman" w:eastAsia="Times New Roman"/>
        </w:rPr>
        <w:t xml:space="preserve">establece la naturaleza, objeto y funciones básicas de la Secretaría Distrital de Cultura, Recreación y Deporte, que tiene por objeto</w:t>
      </w:r>
      <w:r>
        <w:rPr>
          <w:rFonts w:ascii="Times New Roman" w:hAnsi="Times New Roman" w:cs="Times New Roman" w:eastAsia="Times New Roman"/>
          <w:i/>
          <w:iCs/>
        </w:rPr>
        <w:t xml:space="preserve"> "orienta y liderar la formulación concertada de polí</w:t>
      </w:r>
      <w:r>
        <w:rPr>
          <w:rFonts w:ascii="Times New Roman" w:hAnsi="Times New Roman" w:cs="Times New Roman" w:eastAsia="Times New Roman"/>
          <w:i/>
          <w:iCs/>
        </w:rPr>
        <w:t xml:space="preserve">tica, planes y programas en los campos cultural, patrimonial, recreativo y deportivo del Distrito Capital en coordinación con la Secretaría Distrital de Planeación y con la participación de las entidades a ella adscritas y vinculadas y la sociedad civil." </w:t>
      </w:r>
      <w:r/>
    </w:p>
    <w:p>
      <w:pPr>
        <w:ind w:right="-142" w:hanging="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  <w:i/>
          <w:iCs/>
        </w:rPr>
      </w:pPr>
      <w:r>
        <w:rPr>
          <w:rFonts w:ascii="Times New Roman" w:hAnsi="Times New Roman" w:cs="Times New Roman" w:eastAsia="Times New Roman"/>
          <w:i/>
          <w:iCs/>
        </w:rPr>
      </w:r>
      <w:r/>
    </w:p>
    <w:p>
      <w:pPr>
        <w:ind w:right="-142" w:hanging="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El Decreto </w:t>
      </w:r>
      <w:r>
        <w:rPr>
          <w:rFonts w:ascii="Times New Roman" w:hAnsi="Times New Roman" w:cs="Times New Roman" w:eastAsia="Times New Roman"/>
          <w:b/>
          <w:bCs/>
        </w:rPr>
        <w:t xml:space="preserve">Distrital 649 de 2025</w:t>
      </w:r>
      <w:r>
        <w:rPr>
          <w:rFonts w:ascii="Times New Roman" w:hAnsi="Times New Roman" w:cs="Times New Roman" w:eastAsia="Times New Roman"/>
        </w:rPr>
        <w:t xml:space="preserve"> “</w:t>
      </w:r>
      <w:r>
        <w:rPr>
          <w:rFonts w:ascii="Times New Roman" w:hAnsi="Times New Roman" w:cs="Times New Roman" w:eastAsia="Times New Roman"/>
          <w:i/>
          <w:iCs/>
        </w:rPr>
        <w:t xml:space="preserve">Por el cual se expide el Decreto Único del sector Cultura, Recreación y Deporte”</w:t>
      </w:r>
      <w:r>
        <w:rPr>
          <w:rFonts w:ascii="Times New Roman" w:hAnsi="Times New Roman" w:cs="Times New Roman" w:eastAsia="Times New Roman"/>
        </w:rPr>
        <w:t xml:space="preserve">, en el </w:t>
      </w:r>
      <w:r>
        <w:rPr>
          <w:rFonts w:ascii="Times New Roman" w:hAnsi="Times New Roman" w:cs="Times New Roman" w:eastAsia="Times New Roman"/>
          <w:b/>
          <w:bCs/>
        </w:rPr>
        <w:t xml:space="preserve">artículo 6</w:t>
      </w:r>
      <w:r>
        <w:rPr>
          <w:rFonts w:ascii="Times New Roman" w:hAnsi="Times New Roman" w:cs="Times New Roman" w:eastAsia="Times New Roman"/>
        </w:rPr>
        <w:t xml:space="preserve">, establece la estructura de la Secretaría Distrital de Cultura, Recreación y Deporte.</w:t>
      </w:r>
      <w:r/>
    </w:p>
    <w:p>
      <w:pPr>
        <w:ind w:right="-142" w:hanging="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 w:hanging="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El </w:t>
      </w:r>
      <w:r>
        <w:rPr>
          <w:rFonts w:ascii="Times New Roman" w:hAnsi="Times New Roman" w:cs="Times New Roman" w:eastAsia="Times New Roman"/>
          <w:b/>
          <w:bCs/>
        </w:rPr>
        <w:t xml:space="preserve">Decreto Distrital 670 de 2025</w:t>
      </w:r>
      <w:r>
        <w:rPr>
          <w:rFonts w:ascii="Times New Roman" w:hAnsi="Times New Roman" w:cs="Times New Roman" w:eastAsia="Times New Roman"/>
        </w:rPr>
        <w:t xml:space="preserve"> “Por</w:t>
      </w:r>
      <w:r>
        <w:rPr>
          <w:rFonts w:ascii="Times New Roman" w:hAnsi="Times New Roman" w:cs="Times New Roman" w:eastAsia="Times New Roman"/>
          <w:i/>
          <w:iCs/>
        </w:rPr>
        <w:t xml:space="preserve"> medio del cual se expide el Decreto Único Distrital de Ordenamiento Territorial de Bogotá”</w:t>
      </w:r>
      <w:r>
        <w:rPr>
          <w:rFonts w:ascii="Times New Roman" w:hAnsi="Times New Roman" w:cs="Times New Roman" w:eastAsia="Times New Roman"/>
        </w:rPr>
        <w:t xml:space="preserve">, en su </w:t>
      </w:r>
      <w:r>
        <w:rPr>
          <w:rFonts w:ascii="Times New Roman" w:hAnsi="Times New Roman" w:cs="Times New Roman" w:eastAsia="Times New Roman"/>
          <w:b/>
          <w:bCs/>
        </w:rPr>
        <w:t xml:space="preserve">artículo 152</w:t>
      </w:r>
      <w:r>
        <w:rPr>
          <w:rFonts w:ascii="Times New Roman" w:hAnsi="Times New Roman" w:cs="Times New Roman" w:eastAsia="Times New Roman"/>
        </w:rPr>
        <w:t xml:space="preserve"> estableció las actividades de aprovechamiento económico permitidas en el espacio público; definió cada una, y en particular la denominada actividades artísticas reguladas, así:</w:t>
      </w:r>
      <w:r/>
    </w:p>
    <w:p>
      <w:pPr>
        <w:ind w:right="-142" w:hanging="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tbl>
      <w:tblPr>
        <w:tblStyle w:val="909"/>
        <w:tblW w:w="9214" w:type="dxa"/>
        <w:tblInd w:w="0" w:type="dxa"/>
        <w:tblBorders>
          <w:left w:val="single" w:color="000000" w:sz="8" w:space="0"/>
          <w:top w:val="single" w:color="000000" w:sz="8" w:space="0"/>
          <w:right w:val="single" w:color="000000" w:sz="8" w:space="0"/>
          <w:bottom w:val="single" w:color="000000" w:sz="8" w:space="0"/>
          <w:insideV w:val="single" w:color="000000" w:sz="8" w:space="0"/>
          <w:insideH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607"/>
        <w:gridCol w:w="4607"/>
      </w:tblGrid>
      <w:tr>
        <w:trPr/>
        <w:tc>
          <w:tcPr>
            <w:tcW w:w="4607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TIPO DE ACTIVIDAD</w:t>
            </w:r>
            <w:r/>
          </w:p>
        </w:tc>
        <w:tc>
          <w:tcPr>
            <w:tcW w:w="46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DEFINICIÓN</w:t>
            </w:r>
            <w:r/>
          </w:p>
        </w:tc>
      </w:tr>
      <w:tr>
        <w:trPr/>
        <w:tc>
          <w:tcPr>
            <w:tcW w:w="4607" w:type="dxa"/>
            <w:textDirection w:val="lrTb"/>
            <w:noWrap w:val="false"/>
          </w:tcPr>
          <w:p>
            <w:pPr>
              <w:ind w:left="170" w:right="-113"/>
              <w:jc w:val="both"/>
              <w:tabs>
                <w:tab w:val="left" w:pos="6507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</w:rPr>
              <w:t xml:space="preserve">“</w:t>
            </w:r>
            <w:r>
              <w:rPr>
                <w:rFonts w:ascii="Times New Roman" w:hAnsi="Times New Roman" w:cs="Times New Roman" w:eastAsia="Times New Roman"/>
              </w:rPr>
              <w:t xml:space="preserve">ACTIVIDADES ARTÍSTICAS REGULADAS”</w:t>
            </w:r>
            <w:r/>
          </w:p>
        </w:tc>
        <w:tc>
          <w:tcPr>
            <w:tcW w:w="4607" w:type="dxa"/>
            <w:textDirection w:val="lrTb"/>
            <w:noWrap w:val="false"/>
          </w:tcPr>
          <w:p>
            <w:pPr>
              <w:ind w:left="57" w:right="-170"/>
              <w:jc w:val="both"/>
              <w:tabs>
                <w:tab w:val="left" w:pos="6507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</w:rPr>
              <w:t xml:space="preserve"> “Ocupación temporal del espacio público para la realización de</w:t>
            </w:r>
            <w:r>
              <w:rPr>
                <w:rFonts w:ascii="Times New Roman" w:hAnsi="Times New Roman" w:cs="Times New Roman" w:eastAsia="Times New Roman"/>
                <w:i/>
                <w:iCs/>
              </w:rPr>
              <w:t xml:space="preserve"> prácticas artísticas, cuya actividad principal es crear, recrear o impulsar manifestaciones artísticas, para generar un valor cultural agregado al espacio urbano, realizadas por personas naturales o grupos de hasta 3 personas, o la cantidad que defina la </w:t>
            </w:r>
            <w:r>
              <w:rPr>
                <w:rFonts w:ascii="Times New Roman" w:hAnsi="Times New Roman" w:cs="Times New Roman" w:eastAsia="Times New Roman"/>
                <w:i/>
                <w:iCs/>
              </w:rPr>
              <w:t xml:space="preserve">Secretaría Distrital de Cultura, Recreación y Deporte. </w:t>
            </w:r>
            <w:r/>
          </w:p>
          <w:p>
            <w:pPr>
              <w:ind w:left="57" w:right="-170"/>
              <w:jc w:val="both"/>
              <w:tabs>
                <w:tab w:val="left" w:pos="6507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</w:rPr>
              <w:t xml:space="preserve">Esta actividad incluye artistas que trabajan con instrumentos musicales, las r</w:t>
            </w:r>
            <w:r>
              <w:rPr>
                <w:rFonts w:ascii="Times New Roman" w:hAnsi="Times New Roman" w:cs="Times New Roman" w:eastAsia="Times New Roman"/>
                <w:i/>
                <w:iCs/>
              </w:rPr>
              <w:t xml:space="preserve">epresentaciones teatrales, la lectura o la presentación de obras literarias, la danza, las artes plásticas, visuales o audiovisuales y otras actividades afines. El desarrollo de estas actividades en el espacio público puede contemplar una retribución econó</w:t>
            </w:r>
            <w:r>
              <w:rPr>
                <w:rFonts w:ascii="Times New Roman" w:hAnsi="Times New Roman" w:cs="Times New Roman" w:eastAsia="Times New Roman"/>
                <w:i/>
                <w:iCs/>
              </w:rPr>
              <w:t xml:space="preserve">mica, sin que medie boletería, derechos de asistencia, ni publicidad. Cuando los artistas hagan uso de elementos para llevar a cabo la práctica artística, se regirán por la normatividad aplicable y deberán ser retirados inmediatamente finalizada la labor”.</w:t>
            </w:r>
            <w:r/>
          </w:p>
          <w:p>
            <w:pPr>
              <w:ind w:right="-142"/>
              <w:jc w:val="both"/>
              <w:tabs>
                <w:tab w:val="left" w:pos="6507" w:leader="none"/>
              </w:tabs>
              <w:rPr>
                <w:rFonts w:ascii="Times New Roman" w:hAnsi="Times New Roman" w:cs="Times New Roman" w:eastAsia="Times New Roman"/>
                <w:i/>
                <w:iCs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</w:rPr>
            </w:r>
            <w:r/>
          </w:p>
        </w:tc>
      </w:tr>
    </w:tbl>
    <w:p>
      <w:pPr>
        <w:ind w:right="-142" w:hanging="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Así mismo el mencionado </w:t>
      </w:r>
      <w:r>
        <w:rPr>
          <w:rFonts w:ascii="Times New Roman" w:hAnsi="Times New Roman" w:cs="Times New Roman" w:eastAsia="Times New Roman"/>
          <w:b/>
          <w:bCs/>
        </w:rPr>
        <w:t xml:space="preserve">Decreto Distrital 670 de 2025 </w:t>
      </w:r>
      <w:r>
        <w:rPr>
          <w:rFonts w:ascii="Times New Roman" w:hAnsi="Times New Roman" w:cs="Times New Roman" w:eastAsia="Times New Roman"/>
        </w:rPr>
        <w:t xml:space="preserve">en su </w:t>
      </w:r>
      <w:r>
        <w:rPr>
          <w:rFonts w:ascii="Times New Roman" w:hAnsi="Times New Roman" w:cs="Times New Roman" w:eastAsia="Times New Roman"/>
          <w:b/>
          <w:bCs/>
        </w:rPr>
        <w:t xml:space="preserve">artículo 161</w:t>
      </w:r>
      <w:r>
        <w:rPr>
          <w:rFonts w:ascii="Times New Roman" w:hAnsi="Times New Roman" w:cs="Times New Roman" w:eastAsia="Times New Roman"/>
        </w:rPr>
        <w:t xml:space="preserve">, determinó que las Entidades Gestoras del </w:t>
      </w:r>
      <w:r>
        <w:rPr>
          <w:rFonts w:ascii="Times New Roman" w:hAnsi="Times New Roman" w:cs="Times New Roman" w:eastAsia="Times New Roman"/>
        </w:rPr>
        <w:t xml:space="preserve">aprovechamiento económico del espacio público, son las encargadas de emitir las autorizaciones para el desarrollo de actividades con y sin aprovechamiento económico en el espacio público, de acuerdo con su misión y funciones, asignando la competencia a la </w:t>
      </w:r>
      <w:r>
        <w:rPr>
          <w:rFonts w:ascii="Times New Roman" w:hAnsi="Times New Roman" w:cs="Times New Roman" w:eastAsia="Times New Roman"/>
          <w:b/>
          <w:bCs/>
        </w:rPr>
        <w:t xml:space="preserve">Secretaría Distrital de Cultura, Recreación y Deporte - SCRD</w:t>
      </w:r>
      <w:r>
        <w:rPr>
          <w:rFonts w:ascii="Times New Roman" w:hAnsi="Times New Roman" w:cs="Times New Roman" w:eastAsia="Times New Roman"/>
        </w:rPr>
        <w:t xml:space="preserve"> y al </w:t>
      </w:r>
      <w:r>
        <w:rPr>
          <w:rFonts w:ascii="Times New Roman" w:hAnsi="Times New Roman" w:cs="Times New Roman" w:eastAsia="Times New Roman"/>
          <w:b/>
          <w:bCs/>
        </w:rPr>
        <w:t xml:space="preserve">Instituto Distrital de las Artes IDARTES</w:t>
      </w:r>
      <w:r>
        <w:rPr>
          <w:rFonts w:ascii="Times New Roman" w:hAnsi="Times New Roman" w:cs="Times New Roman" w:eastAsia="Times New Roman"/>
        </w:rPr>
        <w:t xml:space="preserve"> como entidades Gestoras de </w:t>
      </w:r>
      <w:r>
        <w:rPr>
          <w:rFonts w:ascii="Times New Roman" w:hAnsi="Times New Roman" w:cs="Times New Roman" w:eastAsia="Times New Roman"/>
          <w:b/>
          <w:bCs/>
          <w:i/>
          <w:iCs/>
        </w:rPr>
        <w:t xml:space="preserve">“ACTIVIDADES ARTÍSTICAS REGULADAS”.</w:t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La </w:t>
      </w:r>
      <w:r>
        <w:rPr>
          <w:rFonts w:ascii="Times New Roman" w:hAnsi="Times New Roman" w:cs="Times New Roman" w:eastAsia="Times New Roman"/>
          <w:b/>
          <w:bCs/>
        </w:rPr>
        <w:t xml:space="preserve">Secretaría Distrital de Cultura, Recreación y Deporte SCRD</w:t>
      </w:r>
      <w:r>
        <w:rPr>
          <w:rFonts w:ascii="Times New Roman" w:hAnsi="Times New Roman" w:cs="Times New Roman" w:eastAsia="Times New Roman"/>
        </w:rPr>
        <w:t xml:space="preserve"> y el </w:t>
      </w:r>
      <w:r>
        <w:rPr>
          <w:rFonts w:ascii="Times New Roman" w:hAnsi="Times New Roman" w:cs="Times New Roman" w:eastAsia="Times New Roman"/>
          <w:b/>
          <w:bCs/>
        </w:rPr>
        <w:t xml:space="preserve">Instituto Distrital de las Artes – IDARTES</w:t>
      </w:r>
      <w:r>
        <w:rPr>
          <w:rFonts w:ascii="Times New Roman" w:hAnsi="Times New Roman" w:cs="Times New Roman" w:eastAsia="Times New Roman"/>
        </w:rPr>
        <w:t xml:space="preserve">, como entidades Gestoras, expidieron la </w:t>
      </w:r>
      <w:r>
        <w:rPr>
          <w:rFonts w:ascii="Times New Roman" w:hAnsi="Times New Roman" w:cs="Times New Roman" w:eastAsia="Times New Roman"/>
          <w:b/>
          <w:bCs/>
        </w:rPr>
        <w:t xml:space="preserve">Resolución 503 de 2025</w:t>
      </w:r>
      <w:r>
        <w:rPr>
          <w:rFonts w:ascii="Times New Roman" w:hAnsi="Times New Roman" w:cs="Times New Roman" w:eastAsia="Times New Roman"/>
        </w:rPr>
        <w:t xml:space="preserve"> </w:t>
      </w:r>
      <w:r>
        <w:rPr>
          <w:rFonts w:ascii="Times New Roman" w:hAnsi="Times New Roman" w:cs="Times New Roman" w:eastAsia="Times New Roman"/>
          <w:i/>
          <w:iCs/>
        </w:rPr>
        <w:t xml:space="preserve">“Por la cual se adop</w:t>
      </w:r>
      <w:r>
        <w:rPr>
          <w:rFonts w:ascii="Times New Roman" w:hAnsi="Times New Roman" w:cs="Times New Roman" w:eastAsia="Times New Roman"/>
          <w:i/>
          <w:iCs/>
        </w:rPr>
        <w:t xml:space="preserve">ta el protocolo para el aprovechamiento económico de las Actividades Artísticas Reguladas, se establece el procedimiento para la gestión y expedición de permisos, se expiden otras disposiciones y se deja sin efectos la Resolución conjunta No. 787 de 2023” </w:t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  <w:i/>
          <w:iCs/>
        </w:rPr>
      </w:pPr>
      <w:r>
        <w:rPr>
          <w:rFonts w:ascii="Times New Roman" w:hAnsi="Times New Roman" w:cs="Times New Roman" w:eastAsia="Times New Roman"/>
          <w:i/>
          <w:iCs/>
        </w:rPr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En este sentido, el </w:t>
      </w:r>
      <w:r>
        <w:rPr>
          <w:rFonts w:ascii="Times New Roman" w:hAnsi="Times New Roman" w:cs="Times New Roman" w:eastAsia="Times New Roman"/>
          <w:b/>
          <w:bCs/>
        </w:rPr>
        <w:t xml:space="preserve">artículo 10</w:t>
      </w:r>
      <w:r>
        <w:rPr>
          <w:rFonts w:ascii="Times New Roman" w:hAnsi="Times New Roman" w:cs="Times New Roman" w:eastAsia="Times New Roman"/>
        </w:rPr>
        <w:t xml:space="preserve"> de la mencionada </w:t>
      </w:r>
      <w:r>
        <w:rPr>
          <w:rFonts w:ascii="Times New Roman" w:hAnsi="Times New Roman" w:cs="Times New Roman" w:eastAsia="Times New Roman"/>
          <w:b/>
          <w:bCs/>
        </w:rPr>
        <w:t xml:space="preserve">Resolución 503 de 2025</w:t>
      </w:r>
      <w:r>
        <w:rPr>
          <w:rFonts w:ascii="Times New Roman" w:hAnsi="Times New Roman" w:cs="Times New Roman" w:eastAsia="Times New Roman"/>
        </w:rPr>
        <w:t xml:space="preserve">, establece que: </w:t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left="567" w:right="567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“Para efectos de los presentes lineamientos, las actividades artísticas se clasifican por el impacto que generan en el espacio público de la siguiente manera:</w:t>
      </w:r>
      <w:r/>
    </w:p>
    <w:p>
      <w:pPr>
        <w:ind w:left="567" w:right="567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numPr>
          <w:ilvl w:val="0"/>
          <w:numId w:val="1"/>
        </w:numPr>
        <w:ind w:left="567" w:right="567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iCs/>
        </w:rPr>
        <w:t xml:space="preserve">Con impacto: Actividades que requieren de emisión de sonido y/o generan concurrencia de personas, tienen una baja afectación de las condiciones de salubridad, seguridad y convivencia.</w:t>
      </w:r>
      <w:r/>
    </w:p>
    <w:p>
      <w:pPr>
        <w:numPr>
          <w:ilvl w:val="0"/>
          <w:numId w:val="1"/>
        </w:numPr>
        <w:ind w:left="567" w:right="567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iCs/>
        </w:rPr>
        <w:t xml:space="preserve">Sin impacto: Actividades que no generan concurrencia de personas y tampoco requieren emisión de sonido. (…)”</w:t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El </w:t>
      </w:r>
      <w:r>
        <w:rPr>
          <w:rFonts w:ascii="Times New Roman" w:hAnsi="Times New Roman" w:cs="Times New Roman" w:eastAsia="Times New Roman"/>
          <w:b/>
          <w:bCs/>
        </w:rPr>
        <w:t xml:space="preserve">artículo</w:t>
      </w:r>
      <w:r>
        <w:rPr>
          <w:rFonts w:ascii="Times New Roman" w:hAnsi="Times New Roman" w:cs="Times New Roman" w:eastAsia="Times New Roman"/>
          <w:b/>
          <w:bCs/>
          <w:highlight w:val="white"/>
        </w:rPr>
        <w:t xml:space="preserve"> </w:t>
      </w:r>
      <w:r>
        <w:rPr>
          <w:rFonts w:ascii="Times New Roman" w:hAnsi="Times New Roman" w:cs="Times New Roman" w:eastAsia="Times New Roman"/>
          <w:b/>
          <w:bCs/>
        </w:rPr>
        <w:t xml:space="preserve">20</w:t>
      </w:r>
      <w:r>
        <w:rPr>
          <w:rFonts w:ascii="Times New Roman" w:hAnsi="Times New Roman" w:cs="Times New Roman" w:eastAsia="Times New Roman"/>
        </w:rPr>
        <w:t xml:space="preserve"> ibidem estableció las Responsabilidades de la </w:t>
      </w:r>
      <w:r>
        <w:rPr>
          <w:rFonts w:ascii="Times New Roman" w:hAnsi="Times New Roman" w:cs="Times New Roman" w:eastAsia="Times New Roman"/>
          <w:b/>
          <w:bCs/>
        </w:rPr>
        <w:t xml:space="preserve">Secretaría Distrital de Cultura, Recreación y Deporte SCRD y el Instituto Distrital de las Artes - IDARTES </w:t>
      </w:r>
      <w:r>
        <w:rPr>
          <w:rFonts w:ascii="Times New Roman" w:hAnsi="Times New Roman" w:cs="Times New Roman" w:eastAsia="Times New Roman"/>
        </w:rPr>
        <w:t xml:space="preserve">en calidad de </w:t>
      </w:r>
      <w:r>
        <w:rPr>
          <w:rFonts w:ascii="Times New Roman" w:hAnsi="Times New Roman" w:cs="Times New Roman" w:eastAsia="Times New Roman"/>
        </w:rPr>
        <w:t xml:space="preserve">entidades Gestoras de las actividades artísticas reguladas en el espacio público, entre las responsabilidades de la Secretaría Distrital de Cultura, Recreación y Deporte -SCRD se encuentra entre otras:</w:t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left="567" w:right="567"/>
        <w:jc w:val="both"/>
        <w:tabs>
          <w:tab w:val="left" w:pos="6507" w:leader="none"/>
        </w:tabs>
        <w:rPr>
          <w:rFonts w:ascii="Times New Roman" w:hAnsi="Times New Roman" w:cs="Times New Roman" w:eastAsia="Times New Roman"/>
          <w:i/>
          <w:iCs/>
        </w:rPr>
      </w:pPr>
      <w:r>
        <w:rPr>
          <w:rFonts w:ascii="Times New Roman" w:hAnsi="Times New Roman" w:cs="Times New Roman" w:eastAsia="Times New Roman"/>
          <w:i/>
          <w:iCs/>
        </w:rPr>
        <w:t xml:space="preserve">“Formular e implementar junto al Instituto Distrital de las Artes el Plan</w:t>
      </w:r>
      <w:r>
        <w:rPr>
          <w:rFonts w:ascii="Times New Roman" w:hAnsi="Times New Roman" w:cs="Times New Roman" w:eastAsia="Times New Roman"/>
          <w:i/>
          <w:iCs/>
        </w:rPr>
        <w:t xml:space="preserve"> de Manejo Específico para cada zona regulada¨ y ¨Formular e implementar el Plan de Manejo Específico de cada zona regulada con los respectivos actores vinculados al espacio público, en especial las alcaldías locales y autoridades policiales, entre otros”.</w:t>
      </w:r>
      <w:r/>
    </w:p>
    <w:p>
      <w:pPr>
        <w:jc w:val="both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jc w:val="both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La </w:t>
      </w:r>
      <w:r>
        <w:rPr>
          <w:rFonts w:ascii="Times New Roman" w:hAnsi="Times New Roman" w:cs="Times New Roman" w:eastAsia="Times New Roman"/>
          <w:b/>
          <w:bCs/>
        </w:rPr>
        <w:t xml:space="preserve">Secretaría Distrital de Cultura, Recreación y Deporte SCRD</w:t>
      </w:r>
      <w:r>
        <w:rPr>
          <w:rFonts w:ascii="Times New Roman" w:hAnsi="Times New Roman" w:cs="Times New Roman" w:eastAsia="Times New Roman"/>
        </w:rPr>
        <w:t xml:space="preserve">, solicitó mediante radicado SCRD No. 2026310001658, de fecha del 03 de febrero de 2026 al </w:t>
      </w:r>
      <w:r>
        <w:rPr>
          <w:rFonts w:ascii="Times New Roman" w:hAnsi="Times New Roman" w:cs="Times New Roman" w:eastAsia="Times New Roman"/>
          <w:b/>
          <w:bCs/>
        </w:rPr>
        <w:t xml:space="preserve">Instituto Distrital de Recreación y Deporte IDRD</w:t>
      </w:r>
      <w:r>
        <w:rPr>
          <w:rFonts w:ascii="Times New Roman" w:hAnsi="Times New Roman" w:cs="Times New Roman" w:eastAsia="Times New Roman"/>
        </w:rPr>
        <w:t xml:space="preserve">, en calidad de entidad administradora del espacio público, la aprobación del plan de manejo del </w:t>
      </w:r>
      <w:r>
        <w:rPr>
          <w:rFonts w:ascii="Times New Roman" w:hAnsi="Times New Roman" w:cs="Times New Roman" w:eastAsia="Times New Roman"/>
          <w:b/>
          <w:bCs/>
        </w:rPr>
        <w:t xml:space="preserve">Parque Simón Bolívar (Sector Central)</w:t>
      </w:r>
      <w:r>
        <w:rPr>
          <w:rFonts w:ascii="Times New Roman" w:hAnsi="Times New Roman" w:cs="Times New Roman" w:eastAsia="Times New Roman"/>
        </w:rPr>
        <w:t xml:space="preserve"> identificado con código 13-089 para las Actividades Artísticas Reguladas.</w:t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Que la disponibilidad del espacio público para el desarrollo del plan de manejo fue dada por el </w:t>
      </w:r>
      <w:r>
        <w:rPr>
          <w:rFonts w:ascii="Times New Roman" w:hAnsi="Times New Roman" w:cs="Times New Roman" w:eastAsia="Times New Roman"/>
          <w:b/>
          <w:bCs/>
        </w:rPr>
        <w:t xml:space="preserve">Instituto Distrital de Recreación y Deporte IDRD</w:t>
      </w:r>
      <w:r>
        <w:rPr>
          <w:rFonts w:ascii="Times New Roman" w:hAnsi="Times New Roman" w:cs="Times New Roman" w:eastAsia="Times New Roman"/>
        </w:rPr>
        <w:t xml:space="preserve"> según comunicación IDRD No. 20266000138671 y radicado en la SCRD bajo el No. 20267100101882 el 20 de abril de 2026, el cual hace parte integral del presente acto administrativo. </w:t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  <w:highlight w:val="white"/>
        </w:rPr>
      </w:pPr>
      <w:r>
        <w:rPr>
          <w:rFonts w:ascii="Times New Roman" w:hAnsi="Times New Roman" w:cs="Times New Roman" w:eastAsia="Times New Roman"/>
          <w:highlight w:val="white"/>
        </w:rPr>
        <w:t xml:space="preserve">En cumplimiento del </w:t>
      </w:r>
      <w:r>
        <w:rPr>
          <w:rFonts w:ascii="Times New Roman" w:hAnsi="Times New Roman" w:cs="Times New Roman" w:eastAsia="Times New Roman"/>
          <w:b/>
          <w:bCs/>
          <w:highlight w:val="white"/>
        </w:rPr>
        <w:t xml:space="preserve">numeral </w:t>
      </w:r>
      <w:r>
        <w:rPr>
          <w:rFonts w:ascii="Times New Roman" w:hAnsi="Times New Roman" w:cs="Times New Roman" w:eastAsia="Times New Roman"/>
          <w:b/>
          <w:bCs/>
        </w:rPr>
        <w:t xml:space="preserve">8</w:t>
      </w:r>
      <w:r>
        <w:rPr>
          <w:rFonts w:ascii="Times New Roman" w:hAnsi="Times New Roman" w:cs="Times New Roman" w:eastAsia="Times New Roman"/>
          <w:b/>
          <w:bCs/>
          <w:highlight w:val="white"/>
        </w:rPr>
        <w:t xml:space="preserve"> artículo 8 del CPACA</w:t>
      </w:r>
      <w:r>
        <w:rPr>
          <w:rFonts w:ascii="Times New Roman" w:hAnsi="Times New Roman" w:cs="Times New Roman" w:eastAsia="Times New Roman"/>
          <w:highlight w:val="white"/>
        </w:rPr>
        <w:t xml:space="preserve">, y del </w:t>
      </w:r>
      <w:r>
        <w:rPr>
          <w:rFonts w:ascii="Times New Roman" w:hAnsi="Times New Roman" w:cs="Times New Roman" w:eastAsia="Times New Roman"/>
          <w:b/>
          <w:bCs/>
          <w:highlight w:val="white"/>
        </w:rPr>
        <w:t xml:space="preserve">artículo </w:t>
      </w:r>
      <w:r>
        <w:rPr>
          <w:rFonts w:ascii="Times New Roman" w:hAnsi="Times New Roman" w:cs="Times New Roman" w:eastAsia="Times New Roman"/>
          <w:b/>
          <w:bCs/>
        </w:rPr>
        <w:t xml:space="preserve">69</w:t>
      </w:r>
      <w:r>
        <w:rPr>
          <w:rFonts w:ascii="Times New Roman" w:hAnsi="Times New Roman" w:cs="Times New Roman" w:eastAsia="Times New Roman"/>
          <w:b/>
          <w:bCs/>
          <w:highlight w:val="white"/>
        </w:rPr>
        <w:t xml:space="preserve"> del Decreto Distrital 479 de 2024</w:t>
      </w:r>
      <w:r>
        <w:rPr>
          <w:rFonts w:ascii="Times New Roman" w:hAnsi="Times New Roman" w:cs="Times New Roman" w:eastAsia="Times New Roman"/>
          <w:highlight w:val="white"/>
        </w:rPr>
        <w:t xml:space="preserve">, el proyecto de acto administrativo se publicó en la página web de la entidad y en el portal de </w:t>
      </w:r>
      <w:r>
        <w:rPr>
          <w:rFonts w:ascii="Times New Roman" w:hAnsi="Times New Roman" w:cs="Times New Roman" w:eastAsia="Times New Roman"/>
          <w:highlight w:val="white"/>
        </w:rPr>
        <w:t xml:space="preserve">LegalBog</w:t>
      </w:r>
      <w:r>
        <w:rPr>
          <w:rFonts w:ascii="Times New Roman" w:hAnsi="Times New Roman" w:cs="Times New Roman" w:eastAsia="Times New Roman"/>
          <w:highlight w:val="yellow"/>
        </w:rPr>
        <w:t xml:space="preserve"> durante 5 días hábiles a partir del X hasta el X </w:t>
      </w:r>
      <w:r>
        <w:rPr>
          <w:rFonts w:ascii="Times New Roman" w:hAnsi="Times New Roman" w:cs="Times New Roman" w:eastAsia="Times New Roman"/>
          <w:highlight w:val="white"/>
        </w:rPr>
        <w:t xml:space="preserve">para que los ciudadanos presentarán sus observaciones, sugerencias u opiniones, fechas entre las cuales </w:t>
      </w:r>
      <w:r>
        <w:rPr>
          <w:rFonts w:ascii="Times New Roman" w:hAnsi="Times New Roman" w:cs="Times New Roman" w:eastAsia="Times New Roman"/>
          <w:highlight w:val="yellow"/>
        </w:rPr>
        <w:t xml:space="preserve">no</w:t>
      </w:r>
      <w:r>
        <w:rPr>
          <w:rFonts w:ascii="Times New Roman" w:hAnsi="Times New Roman" w:cs="Times New Roman" w:eastAsia="Times New Roman"/>
          <w:highlight w:val="white"/>
        </w:rPr>
        <w:t xml:space="preserve"> se recibieron  observaciones.</w:t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  <w:highlight w:val="white"/>
        </w:rPr>
      </w:pPr>
      <w:r>
        <w:rPr>
          <w:rFonts w:ascii="Times New Roman" w:hAnsi="Times New Roman" w:cs="Times New Roman" w:eastAsia="Times New Roman"/>
          <w:highlight w:val="white"/>
        </w:rPr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En consecuencia, la </w:t>
      </w:r>
      <w:r>
        <w:rPr>
          <w:rFonts w:ascii="Times New Roman" w:hAnsi="Times New Roman" w:cs="Times New Roman" w:eastAsia="Times New Roman"/>
          <w:b/>
          <w:bCs/>
        </w:rPr>
        <w:t xml:space="preserve">Secretaría Distrital de Cultura, Recreación y Deporte-SCRD</w:t>
      </w:r>
      <w:r>
        <w:rPr>
          <w:rFonts w:ascii="Times New Roman" w:hAnsi="Times New Roman" w:cs="Times New Roman" w:eastAsia="Times New Roman"/>
        </w:rPr>
        <w:t xml:space="preserve"> en calidad de entidad Gestora de las </w:t>
      </w:r>
      <w:r>
        <w:rPr>
          <w:rFonts w:ascii="Times New Roman" w:hAnsi="Times New Roman" w:cs="Times New Roman" w:eastAsia="Times New Roman"/>
          <w:b/>
          <w:bCs/>
        </w:rPr>
        <w:t xml:space="preserve">“Actividades Artísticas Reguladas”</w:t>
      </w:r>
      <w:r>
        <w:rPr>
          <w:rFonts w:ascii="Times New Roman" w:hAnsi="Times New Roman" w:cs="Times New Roman" w:eastAsia="Times New Roman"/>
        </w:rPr>
        <w:t xml:space="preserve"> procede a expedir el presente acto administrativo.</w:t>
      </w:r>
      <w:r/>
    </w:p>
    <w:p>
      <w:pPr>
        <w:ind w:left="-280"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</w:rPr>
        <w:t xml:space="preserve">En mérito de lo expuesto, </w:t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ind w:left="-280" w:right="-142"/>
        <w:jc w:val="center"/>
        <w:tabs>
          <w:tab w:val="left" w:pos="6507" w:leader="none"/>
        </w:tabs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ind w:left="-280" w:right="-142"/>
        <w:jc w:val="center"/>
        <w:tabs>
          <w:tab w:val="left" w:pos="6507" w:leader="none"/>
        </w:tabs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  <w:t xml:space="preserve">RESUELVE</w:t>
      </w:r>
      <w:r/>
    </w:p>
    <w:p>
      <w:pPr>
        <w:ind w:left="-280"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 xml:space="preserve">Artículo 1°. Objeto. </w:t>
      </w:r>
      <w:r>
        <w:rPr>
          <w:rFonts w:ascii="Times New Roman" w:hAnsi="Times New Roman" w:cs="Times New Roman" w:eastAsia="Times New Roman"/>
        </w:rPr>
        <w:t xml:space="preserve">Determinar e implementar el plan de manejo del</w:t>
      </w:r>
      <w:r>
        <w:rPr>
          <w:rFonts w:ascii="Times New Roman" w:hAnsi="Times New Roman" w:cs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 w:eastAsia="Times New Roman"/>
          <w:b/>
          <w:bCs/>
        </w:rPr>
        <w:t xml:space="preserve">Parque Simón Bolívar (Sector Central)</w:t>
      </w:r>
      <w:r>
        <w:rPr>
          <w:rFonts w:ascii="Times New Roman" w:hAnsi="Times New Roman" w:cs="Times New Roman" w:eastAsia="Times New Roman"/>
        </w:rPr>
        <w:t xml:space="preserve"> identificado con </w:t>
      </w:r>
      <w:r>
        <w:rPr>
          <w:rFonts w:ascii="Times New Roman" w:hAnsi="Times New Roman" w:cs="Times New Roman" w:eastAsia="Times New Roman"/>
          <w:b/>
          <w:bCs/>
        </w:rPr>
        <w:t xml:space="preserve">código 13-089</w:t>
      </w:r>
      <w:r>
        <w:rPr>
          <w:rFonts w:ascii="Times New Roman" w:hAnsi="Times New Roman" w:cs="Times New Roman" w:eastAsia="Times New Roman"/>
        </w:rPr>
        <w:t xml:space="preserve">.</w:t>
      </w:r>
      <w:r>
        <w:rPr>
          <w:rFonts w:ascii="Times New Roman" w:hAnsi="Times New Roman" w:cs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 w:eastAsia="Times New Roman"/>
        </w:rPr>
        <w:t xml:space="preserve">para la realización de las </w:t>
      </w:r>
      <w:r>
        <w:rPr>
          <w:rFonts w:ascii="Times New Roman" w:hAnsi="Times New Roman" w:cs="Times New Roman" w:eastAsia="Times New Roman"/>
          <w:b/>
          <w:bCs/>
          <w:i/>
          <w:iCs/>
        </w:rPr>
        <w:t xml:space="preserve">“ACTIVIDADES ARTÍSTICAS REGULADAS”</w:t>
      </w:r>
      <w:r>
        <w:rPr>
          <w:rFonts w:ascii="Times New Roman" w:hAnsi="Times New Roman" w:cs="Times New Roman" w:eastAsia="Times New Roman"/>
        </w:rPr>
        <w:t xml:space="preserve"> en el espacio público, el cual hace parte integral del presente acto administrativo.</w:t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 xml:space="preserve">Artículo 2°. Espacios. </w:t>
      </w:r>
      <w:r>
        <w:rPr>
          <w:rFonts w:ascii="Times New Roman" w:hAnsi="Times New Roman" w:cs="Times New Roman" w:eastAsia="Times New Roman"/>
        </w:rPr>
        <w:t xml:space="preserve">Las actividades artísticas permitidas se clasificarán y organizarán en el espacio público de la siguiente manera:</w:t>
      </w:r>
      <w:r>
        <w:rPr>
          <w:rFonts w:ascii="Times New Roman" w:hAnsi="Times New Roman" w:cs="Times New Roman" w:eastAsia="Times New Roman"/>
          <w:b/>
          <w:bCs/>
        </w:rPr>
        <w:t xml:space="preserve"> </w:t>
      </w:r>
      <w:r>
        <w:rPr>
          <w:rFonts w:ascii="Times New Roman" w:hAnsi="Times New Roman" w:cs="Times New Roman" w:eastAsia="Times New Roman"/>
        </w:rPr>
        <w:t xml:space="preserve"> </w:t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tbl>
      <w:tblPr>
        <w:tblStyle w:val="910"/>
        <w:tblW w:w="9212" w:type="dxa"/>
        <w:tblInd w:w="0" w:type="dxa"/>
        <w:tblBorders>
          <w:left w:val="single" w:color="000000" w:sz="8" w:space="0"/>
          <w:top w:val="single" w:color="000000" w:sz="8" w:space="0"/>
          <w:right w:val="single" w:color="000000" w:sz="8" w:space="0"/>
          <w:bottom w:val="single" w:color="000000" w:sz="8" w:space="0"/>
          <w:insideV w:val="single" w:color="000000" w:sz="8" w:space="0"/>
          <w:insideH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303"/>
        <w:gridCol w:w="2303"/>
        <w:gridCol w:w="2303"/>
        <w:gridCol w:w="2303"/>
      </w:tblGrid>
      <w:tr>
        <w:trPr>
          <w:trHeight w:val="420"/>
        </w:trPr>
        <w:tc>
          <w:tcPr>
            <w:gridSpan w:val="4"/>
            <w:tcMar>
              <w:left w:w="100" w:type="dxa"/>
              <w:top w:w="0" w:type="dxa"/>
              <w:right w:w="100" w:type="dxa"/>
              <w:bottom w:w="0" w:type="dxa"/>
            </w:tcMar>
            <w:tcW w:w="9212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iCs/>
              </w:rPr>
              <w:t xml:space="preserve">Parque Simón Bolívar (Sector Central) identificado con código 13-089</w:t>
            </w:r>
            <w:r/>
          </w:p>
        </w:tc>
      </w:tr>
      <w:tr>
        <w:trPr>
          <w:trHeight w:val="285"/>
        </w:trPr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Impacto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Espacios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Permisos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Horarios</w:t>
            </w:r>
            <w:r/>
          </w:p>
        </w:tc>
      </w:tr>
      <w:tr>
        <w:trPr>
          <w:trHeight w:val="1305"/>
        </w:trPr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Con Impacto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Sábado a Domingo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10:00 am- 4:00 pm</w:t>
            </w:r>
            <w:r/>
          </w:p>
          <w:p>
            <w:pPr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305"/>
        </w:trPr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Sin Impacto.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20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20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Sábado a Domingo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10:00 am- 4:00 pm</w:t>
            </w:r>
            <w:r/>
          </w:p>
        </w:tc>
      </w:tr>
      <w:tr>
        <w:trPr>
          <w:trHeight w:val="1305"/>
        </w:trPr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Total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25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 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25</w:t>
            </w:r>
            <w:r/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2303" w:type="dxa"/>
            <w:textDirection w:val="lrTb"/>
            <w:noWrap w:val="false"/>
          </w:tcPr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Sábado a Domingo</w:t>
            </w:r>
            <w:r/>
          </w:p>
          <w:p>
            <w:pPr>
              <w:jc w:val="center"/>
              <w:spacing w:after="240" w:before="240"/>
              <w:tabs>
                <w:tab w:val="left" w:pos="2135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10:00 am- 4:00 pm</w:t>
            </w:r>
            <w:r/>
          </w:p>
        </w:tc>
      </w:tr>
    </w:tbl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Los horarios establecidos podrán estar sujetos a modificaciones, ajustes o restricciones de acuerdo con l</w:t>
      </w:r>
      <w:r>
        <w:rPr>
          <w:rFonts w:ascii="Times New Roman" w:hAnsi="Times New Roman" w:cs="Times New Roman" w:eastAsia="Times New Roman"/>
        </w:rPr>
        <w:t xml:space="preserve">as estrategias, directrices o disposiciones adoptadas por la Alcaldía Mayor de Bogotá, las Alcaldías Locales o las demás entidades competentes del Distrito, en el marco de sus respectivas competencias y de conformidad con la normatividad vigente. Dichas mo</w:t>
      </w:r>
      <w:r>
        <w:rPr>
          <w:rFonts w:ascii="Times New Roman" w:hAnsi="Times New Roman" w:cs="Times New Roman" w:eastAsia="Times New Roman"/>
        </w:rPr>
        <w:t xml:space="preserve">dificaciones podrán obedecer, entre otros aspectos, a condiciones de seguridad, movilidad, convivencia, orden público, programación institucional o a cualquier otra circunstancia que requiera la adopción de medidas por parte de las autoridades competentes.</w:t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 xml:space="preserve">Artículo 3°. Rotación.</w:t>
      </w:r>
      <w:r>
        <w:rPr>
          <w:rFonts w:ascii="Times New Roman" w:hAnsi="Times New Roman" w:cs="Times New Roman" w:eastAsia="Times New Roman"/>
        </w:rPr>
        <w:t xml:space="preserve"> Para garantizar el uso adecuado del espacio público, cada uno de los espacios destinados para los artistas regulados serán temporales y no tendrán derechos de permanencia </w:t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 xml:space="preserve">Artículo 4°</w:t>
      </w:r>
      <w:r>
        <w:rPr>
          <w:rFonts w:ascii="Times New Roman" w:hAnsi="Times New Roman" w:cs="Times New Roman" w:eastAsia="Times New Roman"/>
        </w:rPr>
        <w:t xml:space="preserve">. </w:t>
      </w:r>
      <w:r>
        <w:rPr>
          <w:rFonts w:ascii="Times New Roman" w:hAnsi="Times New Roman" w:cs="Times New Roman" w:eastAsia="Times New Roman"/>
          <w:b/>
          <w:bCs/>
        </w:rPr>
        <w:t xml:space="preserve">Vigencia de la Autorización. </w:t>
      </w:r>
      <w:r>
        <w:rPr>
          <w:rFonts w:ascii="Times New Roman" w:hAnsi="Times New Roman" w:cs="Times New Roman" w:eastAsia="Times New Roman"/>
        </w:rPr>
        <w:t xml:space="preserve">De acuerdo con la Autorización de uso temporal de la zona dura del parque Simón Bolívar (Sector Central) en el corredor denominado "</w:t>
      </w:r>
      <w:r>
        <w:rPr>
          <w:rFonts w:ascii="Times New Roman" w:hAnsi="Times New Roman" w:cs="Times New Roman" w:eastAsia="Times New Roman"/>
          <w:i/>
          <w:iCs/>
        </w:rPr>
        <w:t xml:space="preserve">Ruta de la Vida</w:t>
      </w:r>
      <w:r>
        <w:rPr>
          <w:rFonts w:ascii="Times New Roman" w:hAnsi="Times New Roman" w:cs="Times New Roman" w:eastAsia="Times New Roman"/>
        </w:rPr>
        <w:t xml:space="preserve">" identificado con código 13-089 otorgada por el Instituto Distrital de Recreación y Deporte la fecha de vigencia máxima de todas las autorizaciones para los artistas regulados del espacio público es hasta el 27 de diciembre de 2026.</w:t>
      </w:r>
      <w:r/>
    </w:p>
    <w:p>
      <w:pPr>
        <w:jc w:val="both"/>
        <w:tabs>
          <w:tab w:val="left" w:pos="2135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/>
        <w:jc w:val="both"/>
        <w:tabs>
          <w:tab w:val="left" w:pos="6507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 xml:space="preserve">Artículo 5°</w:t>
      </w:r>
      <w:r>
        <w:rPr>
          <w:rFonts w:ascii="Times New Roman" w:hAnsi="Times New Roman" w:cs="Times New Roman" w:eastAsia="Times New Roman"/>
        </w:rPr>
        <w:t xml:space="preserve">. </w:t>
      </w:r>
      <w:r>
        <w:rPr>
          <w:rFonts w:ascii="Times New Roman" w:hAnsi="Times New Roman" w:cs="Times New Roman" w:eastAsia="Times New Roman"/>
          <w:highlight w:val="white"/>
        </w:rPr>
        <w:t xml:space="preserve">Comuníquese por la </w:t>
      </w:r>
      <w:r>
        <w:rPr>
          <w:rFonts w:ascii="Times New Roman" w:hAnsi="Times New Roman" w:cs="Times New Roman" w:eastAsia="Times New Roman"/>
          <w:b/>
          <w:bCs/>
          <w:highlight w:val="white"/>
        </w:rPr>
        <w:t xml:space="preserve">Dirección de Gestión Corporativa y Relación con el Ciudadano</w:t>
      </w:r>
      <w:r>
        <w:rPr>
          <w:rFonts w:ascii="Times New Roman" w:hAnsi="Times New Roman" w:cs="Times New Roman" w:eastAsia="Times New Roman"/>
          <w:highlight w:val="white"/>
        </w:rPr>
        <w:t xml:space="preserve"> de la SCRD al</w:t>
      </w:r>
      <w:r>
        <w:rPr>
          <w:rFonts w:ascii="Times New Roman" w:hAnsi="Times New Roman" w:cs="Times New Roman" w:eastAsia="Times New Roman"/>
        </w:rPr>
        <w:t xml:space="preserve"> </w:t>
      </w:r>
      <w:r>
        <w:rPr>
          <w:rFonts w:ascii="Times New Roman" w:hAnsi="Times New Roman" w:cs="Times New Roman" w:eastAsia="Times New Roman"/>
          <w:b/>
          <w:bCs/>
        </w:rPr>
        <w:t xml:space="preserve">Instituto Distrital de las Artes IDARTES</w:t>
      </w:r>
      <w:r>
        <w:rPr>
          <w:rFonts w:ascii="Times New Roman" w:hAnsi="Times New Roman" w:cs="Times New Roman" w:eastAsia="Times New Roman"/>
        </w:rPr>
        <w:t xml:space="preserve"> al correo institucional </w:t>
      </w:r>
      <w:hyperlink r:id="rId12" w:tooltip="mailto:contactenos@idartes.gov.co" w:history="1">
        <w:r>
          <w:rPr>
            <w:rFonts w:ascii="Times New Roman" w:hAnsi="Times New Roman" w:cs="Times New Roman" w:eastAsia="Times New Roman"/>
            <w:b/>
            <w:bCs/>
            <w:u w:val="single"/>
          </w:rPr>
          <w:t xml:space="preserve">contactenos@idartes.gov.co</w:t>
        </w:r>
      </w:hyperlink>
      <w:r>
        <w:rPr>
          <w:rFonts w:ascii="Times New Roman" w:hAnsi="Times New Roman" w:cs="Times New Roman" w:eastAsia="Times New Roman"/>
          <w:b/>
          <w:bCs/>
        </w:rPr>
        <w:t xml:space="preserve"> </w:t>
      </w:r>
      <w:r>
        <w:rPr>
          <w:rFonts w:ascii="Times New Roman" w:hAnsi="Times New Roman" w:cs="Times New Roman" w:eastAsia="Times New Roman"/>
        </w:rPr>
        <w:t xml:space="preserve">en calidad de entidad Gestora de la actividad </w:t>
      </w:r>
      <w:r>
        <w:rPr>
          <w:rFonts w:ascii="Times New Roman" w:hAnsi="Times New Roman" w:cs="Times New Roman" w:eastAsia="Times New Roman"/>
        </w:rPr>
        <w:t xml:space="preserve">y</w:t>
      </w:r>
      <w:r>
        <w:rPr>
          <w:rFonts w:ascii="Times New Roman" w:hAnsi="Times New Roman" w:cs="Times New Roman" w:eastAsia="Times New Roman"/>
        </w:rPr>
        <w:t xml:space="preserve"> </w:t>
      </w:r>
      <w:r>
        <w:rPr>
          <w:rFonts w:ascii="Times New Roman" w:hAnsi="Times New Roman" w:cs="Times New Roman" w:eastAsia="Times New Roman"/>
          <w:b/>
          <w:bCs/>
        </w:rPr>
        <w:t xml:space="preserve">instituto Distrital </w:t>
      </w:r>
      <w:r>
        <w:rPr>
          <w:rFonts w:ascii="Times New Roman" w:hAnsi="Times New Roman" w:cs="Times New Roman" w:eastAsia="Times New Roman"/>
          <w:b/>
          <w:bCs/>
        </w:rPr>
        <w:t xml:space="preserve">de Recreación y Deporte IDRD</w:t>
      </w:r>
      <w:r>
        <w:rPr>
          <w:rFonts w:ascii="Times New Roman" w:hAnsi="Times New Roman" w:cs="Times New Roman" w:eastAsia="Times New Roman"/>
        </w:rPr>
        <w:t xml:space="preserve">, en calidad de entidad administradora al correo institucional IDRDcorrespondencia@idrd.gov.co. al </w:t>
      </w:r>
      <w:r>
        <w:rPr>
          <w:rFonts w:ascii="Times New Roman" w:hAnsi="Times New Roman" w:cs="Times New Roman" w:eastAsia="Times New Roman"/>
          <w:b/>
          <w:bCs/>
        </w:rPr>
        <w:t xml:space="preserve">Departamento Administrativo de la Defensoría del Espacio Público</w:t>
      </w:r>
      <w:r>
        <w:rPr>
          <w:rFonts w:ascii="Times New Roman" w:hAnsi="Times New Roman" w:cs="Times New Roman" w:eastAsia="Times New Roman"/>
        </w:rPr>
        <w:t xml:space="preserve"> correspondencia.externa@dadep.gov.co y a la </w:t>
      </w:r>
      <w:r>
        <w:rPr>
          <w:rFonts w:ascii="Times New Roman" w:hAnsi="Times New Roman" w:cs="Times New Roman" w:eastAsia="Times New Roman"/>
          <w:b/>
          <w:bCs/>
        </w:rPr>
        <w:t xml:space="preserve">Alcaldía Local de Teusaquillo</w:t>
      </w:r>
      <w:r>
        <w:rPr>
          <w:rFonts w:ascii="Times New Roman" w:hAnsi="Times New Roman" w:cs="Times New Roman" w:eastAsia="Times New Roman"/>
        </w:rPr>
        <w:t xml:space="preserve"> </w:t>
      </w:r>
      <w:hyperlink r:id="rId13" w:tooltip="mailto:cdi.bunidos@gobiernobogota.gov.co" w:history="1">
        <w:r>
          <w:rPr>
            <w:rFonts w:ascii="Times New Roman" w:hAnsi="Times New Roman" w:cs="Times New Roman" w:eastAsia="Times New Roman"/>
            <w:color w:val="1155CC"/>
            <w:u w:val="single"/>
          </w:rPr>
          <w:t xml:space="preserve">cdi.teusaquillo@gobiernobogota.gov.co</w:t>
        </w:r>
      </w:hyperlink>
      <w:r>
        <w:rPr>
          <w:rFonts w:ascii="Times New Roman" w:hAnsi="Times New Roman" w:cs="Times New Roman" w:eastAsia="Times New Roman"/>
        </w:rPr>
        <w:t xml:space="preserve">  para su conocimiento y fines pertinentes.</w:t>
      </w:r>
      <w:r/>
    </w:p>
    <w:p>
      <w:pPr>
        <w:ind w:right="-1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 xml:space="preserve">Artículo 6°. </w:t>
      </w:r>
      <w:r>
        <w:rPr>
          <w:rFonts w:ascii="Times New Roman" w:hAnsi="Times New Roman" w:cs="Times New Roman" w:eastAsia="Times New Roman"/>
          <w:b/>
          <w:bCs/>
          <w:i/>
          <w:iCs/>
        </w:rPr>
        <w:t xml:space="preserve">Vigencia</w:t>
      </w:r>
      <w:r>
        <w:rPr>
          <w:rFonts w:ascii="Times New Roman" w:hAnsi="Times New Roman" w:cs="Times New Roman" w:eastAsia="Times New Roman"/>
          <w:b/>
          <w:bCs/>
        </w:rPr>
        <w:t xml:space="preserve">.</w:t>
      </w:r>
      <w:r>
        <w:rPr>
          <w:rFonts w:ascii="Times New Roman" w:hAnsi="Times New Roman" w:cs="Times New Roman" w:eastAsia="Times New Roman"/>
        </w:rPr>
        <w:t xml:space="preserve"> La presente Resolución rige a partir del día siguiente de su publicación y contra la misma no procede recurso alguno en los términos del artículo </w:t>
      </w:r>
      <w:hyperlink r:id="rId14" w:tooltip="https://www.alcaldiabogota.gov.co/sisjur//normas/Norma1.jsp?i=41249#75" w:anchor="75" w:history="1">
        <w:r>
          <w:rPr>
            <w:rFonts w:ascii="Times New Roman" w:hAnsi="Times New Roman" w:cs="Times New Roman" w:eastAsia="Times New Roman"/>
          </w:rPr>
          <w:t xml:space="preserve">75</w:t>
        </w:r>
      </w:hyperlink>
      <w:r>
        <w:rPr>
          <w:rFonts w:ascii="Times New Roman" w:hAnsi="Times New Roman" w:cs="Times New Roman" w:eastAsia="Times New Roman"/>
        </w:rPr>
        <w:t xml:space="preserve"> del CPACA. </w:t>
      </w:r>
      <w:r/>
    </w:p>
    <w:p>
      <w:pPr>
        <w:ind w:right="-1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 xml:space="preserve">Artículo 7°.</w:t>
      </w:r>
      <w:r>
        <w:rPr>
          <w:rFonts w:ascii="Times New Roman" w:hAnsi="Times New Roman" w:cs="Times New Roman" w:eastAsia="Times New Roman"/>
        </w:rPr>
        <w:t xml:space="preserve"> </w:t>
      </w:r>
      <w:r>
        <w:rPr>
          <w:rFonts w:ascii="Times New Roman" w:hAnsi="Times New Roman" w:cs="Times New Roman" w:eastAsia="Times New Roman"/>
          <w:b/>
          <w:bCs/>
        </w:rPr>
        <w:t xml:space="preserve">Publicaciones.</w:t>
      </w:r>
      <w:r>
        <w:rPr>
          <w:rFonts w:ascii="Times New Roman" w:hAnsi="Times New Roman" w:cs="Times New Roman" w:eastAsia="Times New Roman"/>
        </w:rPr>
        <w:t xml:space="preserve"> Solicitar a la </w:t>
      </w:r>
      <w:r>
        <w:rPr>
          <w:rFonts w:ascii="Times New Roman" w:hAnsi="Times New Roman" w:cs="Times New Roman" w:eastAsia="Times New Roman"/>
          <w:b/>
          <w:bCs/>
        </w:rPr>
        <w:t xml:space="preserve">Dirección de Gestión Corporativa y Relación con el Ciudadano de la SCRD</w:t>
      </w:r>
      <w:r>
        <w:rPr>
          <w:rFonts w:ascii="Times New Roman" w:hAnsi="Times New Roman" w:cs="Times New Roman" w:eastAsia="Times New Roman"/>
        </w:rPr>
        <w:t xml:space="preserve"> publicar la presente resolución en la página Web de la Secretaría Distrital de Cultura, Recreación y Deporte, Gaceta Distrital y en el Régimen Legal de Bogotá.</w:t>
      </w:r>
      <w:r/>
    </w:p>
    <w:p>
      <w:pPr>
        <w:ind w:right="-142"/>
        <w:jc w:val="both"/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COMUNÍQUESE, PUBLÍQUESE, Y CÚMPLASE.</w:t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Dado en Bogotá D. C., </w:t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  <w:t xml:space="preserve">SANTIAGO TRUJILLO ESCOBAR</w:t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Secretario de Despacho </w:t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Secretaría Distrital de Cultura, Recreación y Deporte</w:t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</w:rPr>
      </w:r>
      <w:r/>
    </w:p>
    <w:p>
      <w:pPr>
        <w:ind w:right="-142" w:hanging="2"/>
        <w:jc w:val="center"/>
        <w:rPr>
          <w:rFonts w:ascii="Times New Roman" w:hAnsi="Times New Roman" w:cs="Times New Roman" w:eastAsia="Times New Roman"/>
          <w:color w:val="C00000"/>
        </w:rPr>
      </w:pPr>
      <w:r>
        <w:rPr>
          <w:rFonts w:ascii="Times New Roman" w:hAnsi="Times New Roman" w:cs="Times New Roman" w:eastAsia="Times New Roman"/>
          <w:color w:val="C00000"/>
        </w:rPr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 xml:space="preserve">Proyectó:</w:t>
      </w:r>
      <w:r>
        <w:rPr>
          <w:rFonts w:ascii="Times New Roman" w:hAnsi="Times New Roman" w:cs="Times New Roman" w:eastAsia="Times New Roman"/>
          <w:sz w:val="16"/>
          <w:szCs w:val="16"/>
        </w:rPr>
        <w:t xml:space="preserve"> Jorge Uricoechea </w:t>
      </w:r>
      <w:r>
        <w:rPr>
          <w:rFonts w:ascii="Times New Roman" w:hAnsi="Times New Roman" w:cs="Times New Roman" w:eastAsia="Times New Roman"/>
          <w:sz w:val="16"/>
          <w:szCs w:val="16"/>
        </w:rPr>
        <w:t xml:space="preserve">Florez</w:t>
      </w:r>
      <w:r>
        <w:rPr>
          <w:rFonts w:ascii="Times New Roman" w:hAnsi="Times New Roman" w:cs="Times New Roman" w:eastAsia="Times New Roman"/>
          <w:sz w:val="16"/>
          <w:szCs w:val="16"/>
        </w:rPr>
        <w:t xml:space="preserve">-Contratista Subdirección de Gestión Cultural y Artística</w:t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  <w:t xml:space="preserve">                Sandra Carolina Cortés Vargas- Contratista Subdirección de Gestión Cultural y Artística</w:t>
      </w:r>
      <w:r/>
    </w:p>
    <w:p>
      <w:pPr>
        <w:ind w:right="-142" w:hanging="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  <w:t xml:space="preserve"> </w:t>
      </w:r>
      <w:r>
        <w:rPr>
          <w:rFonts w:ascii="Times New Roman" w:hAnsi="Times New Roman" w:cs="Times New Roman" w:eastAsia="Times New Roman"/>
          <w:sz w:val="16"/>
          <w:szCs w:val="16"/>
        </w:rPr>
        <w:tab/>
      </w:r>
      <w:r>
        <w:rPr>
          <w:rFonts w:ascii="Times New Roman" w:hAnsi="Times New Roman" w:cs="Times New Roman" w:eastAsia="Times New Roman"/>
          <w:sz w:val="16"/>
          <w:szCs w:val="16"/>
        </w:rPr>
        <w:t xml:space="preserve">Jeimy</w:t>
      </w:r>
      <w:r>
        <w:rPr>
          <w:rFonts w:ascii="Times New Roman" w:hAnsi="Times New Roman" w:cs="Times New Roman" w:eastAsia="Times New Roman"/>
          <w:sz w:val="16"/>
          <w:szCs w:val="16"/>
        </w:rPr>
        <w:t xml:space="preserve"> Viviana Páramo-Contratista Subdirección de Gestión Cultural y Artística</w:t>
      </w:r>
      <w:r/>
    </w:p>
    <w:p>
      <w:pPr>
        <w:ind w:right="-142" w:firstLine="7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  <w:t xml:space="preserve">Lía Cabarcas - Contratista Dirección de Arte, Cultura y Patrimonio </w:t>
      </w:r>
      <w:r/>
    </w:p>
    <w:p>
      <w:pPr>
        <w:ind w:right="-14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 xml:space="preserve">Revisó SGC:</w:t>
      </w:r>
      <w:r>
        <w:rPr>
          <w:rFonts w:ascii="Times New Roman" w:hAnsi="Times New Roman" w:cs="Times New Roman" w:eastAsia="Times New Roman"/>
          <w:sz w:val="16"/>
          <w:szCs w:val="16"/>
        </w:rPr>
        <w:t xml:space="preserve"> Adriana María Botero. Subdirectora de Gestión Cultural y Artística</w:t>
      </w:r>
      <w:r/>
    </w:p>
    <w:p>
      <w:pPr>
        <w:ind w:right="-14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 xml:space="preserve">Aprobó DACP:</w:t>
      </w:r>
      <w:r>
        <w:rPr>
          <w:rFonts w:ascii="Times New Roman" w:hAnsi="Times New Roman" w:cs="Times New Roman" w:eastAsia="Times New Roman"/>
          <w:sz w:val="16"/>
          <w:szCs w:val="16"/>
        </w:rPr>
        <w:t xml:space="preserve"> Nathalia Rippe Sierra. Directora de Arte, Cultura y Patrimonio </w:t>
      </w:r>
      <w:r/>
    </w:p>
    <w:p>
      <w:pPr>
        <w:ind w:right="-14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</w:r>
      <w:r/>
    </w:p>
    <w:p>
      <w:pPr>
        <w:ind w:right="-14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 xml:space="preserve">Aprobó, revisó y ajustó: </w:t>
      </w:r>
      <w:r>
        <w:rPr>
          <w:rFonts w:ascii="Times New Roman" w:hAnsi="Times New Roman" w:cs="Times New Roman" w:eastAsia="Times New Roman"/>
          <w:sz w:val="16"/>
          <w:szCs w:val="16"/>
        </w:rPr>
        <w:t xml:space="preserve">Sandra </w:t>
      </w:r>
      <w:r>
        <w:rPr>
          <w:rFonts w:ascii="Times New Roman" w:hAnsi="Times New Roman" w:cs="Times New Roman" w:eastAsia="Times New Roman"/>
          <w:sz w:val="16"/>
          <w:szCs w:val="16"/>
        </w:rPr>
        <w:t xml:space="preserve">Margoth</w:t>
      </w:r>
      <w:r>
        <w:rPr>
          <w:rFonts w:ascii="Times New Roman" w:hAnsi="Times New Roman" w:cs="Times New Roman" w:eastAsia="Times New Roman"/>
          <w:sz w:val="16"/>
          <w:szCs w:val="16"/>
        </w:rPr>
        <w:t xml:space="preserve"> Vélez Abello – Jefe Oficina Jurídica</w:t>
      </w:r>
      <w:r/>
    </w:p>
    <w:p>
      <w:pPr>
        <w:ind w:right="-14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  <w:t xml:space="preserve">Revisó y ajusto OJ:  Julieta Vence Mendoza – Contratista Oficina Jurídica</w:t>
      </w:r>
      <w:r/>
    </w:p>
    <w:p>
      <w:pPr>
        <w:ind w:right="-14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  <w:t xml:space="preserve">                                  Jairo Ignacio Ramírez Cruz – Contratista Oficina Jurídica</w:t>
      </w:r>
      <w:r/>
    </w:p>
    <w:p>
      <w:pPr>
        <w:ind w:right="-1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16"/>
          <w:szCs w:val="16"/>
        </w:rPr>
        <w:t xml:space="preserve">                                  Jair Andrade Flórez - Contratista Oficina Jurídica</w:t>
      </w:r>
      <w:r>
        <w:rPr>
          <w:rFonts w:ascii="Times New Roman" w:hAnsi="Times New Roman" w:cs="Times New Roman" w:eastAsia="Times New Roman"/>
        </w:rPr>
        <w:tab/>
      </w:r>
      <w:r/>
    </w:p>
    <w:sectPr>
      <w:headerReference w:type="default" r:id="rId9"/>
      <w:footerReference w:type="default" r:id="rId10"/>
      <w:footnotePr/>
      <w:endnotePr/>
      <w:type w:val="nextPage"/>
      <w:pgSz w:w="12240" w:h="20160" w:orient="portrait"/>
      <w:pgMar w:top="964" w:right="1892" w:bottom="851" w:left="1134" w:header="566" w:footer="396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de3of9">
    <w:panose1 w:val="020B0203030804020204"/>
  </w:font>
  <w:font w:name="Georgia">
    <w:panose1 w:val="02060603050605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tabs>
        <w:tab w:val="center" w:pos="4419" w:leader="none"/>
        <w:tab w:val="right" w:pos="8838" w:leader="none"/>
      </w:tabs>
      <w:rPr>
        <w:rFonts w:ascii="Arial" w:hAnsi="Arial" w:cs="Arial" w:eastAsia="Arial"/>
        <w:b/>
        <w:bCs/>
        <w:color w:val="FFFFFF"/>
        <w:sz w:val="10"/>
        <w:szCs w:val="10"/>
      </w:r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r>
      <w:rPr>
        <w:rFonts w:ascii="Arial" w:hAnsi="Arial" w:cs="Arial" w:eastAsia="Arial"/>
        <w:color w:val="000000"/>
        <w:sz w:val="10"/>
        <w:szCs w:val="10"/>
      </w:rPr>
      <w:t xml:space="preserve"> </w:t>
    </w:r>
    <w:r/>
  </w:p>
  <w:tbl>
    <w:tblPr>
      <w:tblStyle w:val="912"/>
      <w:tblW w:w="9972" w:type="dxa"/>
      <w:tblInd w:w="0" w:type="dxa"/>
      <w:tblBorders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insideV w:val="none" w:color="000000" w:sz="4" w:space="0"/>
        <w:insideH w:val="none" w:color="000000" w:sz="4" w:space="0"/>
      </w:tblBorders>
      <w:tblLayout w:type="fixed"/>
      <w:tblLook w:val="0400" w:firstRow="0" w:lastRow="0" w:firstColumn="0" w:lastColumn="0" w:noHBand="0" w:noVBand="1"/>
    </w:tblPr>
    <w:tblGrid>
      <w:gridCol w:w="3971"/>
      <w:gridCol w:w="1843"/>
      <w:gridCol w:w="2836"/>
      <w:gridCol w:w="1322"/>
    </w:tblGrid>
    <w:tr>
      <w:trPr>
        <w:trHeight w:val="1693"/>
      </w:trPr>
      <w:tc>
        <w:tcPr>
          <w:tcW w:w="3971" w:type="dxa"/>
          <w:textDirection w:val="lrTb"/>
          <w:noWrap w:val="false"/>
        </w:tcPr>
        <w:p>
          <w:pPr>
            <w:tabs>
              <w:tab w:val="center" w:pos="4419" w:leader="none"/>
              <w:tab w:val="right" w:pos="8838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  <w:p>
          <w:pPr>
            <w:tabs>
              <w:tab w:val="center" w:pos="4419" w:leader="none"/>
              <w:tab w:val="right" w:pos="8838" w:leader="none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Carrera 8ª No. 9 - 83 Centro</w:t>
          </w:r>
          <w:r/>
        </w:p>
        <w:p>
          <w:pPr>
            <w:tabs>
              <w:tab w:val="center" w:pos="4419" w:leader="none"/>
              <w:tab w:val="right" w:pos="8838" w:leader="none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Tel. 3274850</w:t>
          </w:r>
          <w:r/>
        </w:p>
        <w:p>
          <w:pPr>
            <w:tabs>
              <w:tab w:val="center" w:pos="4419" w:leader="none"/>
              <w:tab w:val="right" w:pos="8838" w:leader="none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Código Postal: 111711</w:t>
          </w:r>
          <w:r/>
        </w:p>
        <w:p>
          <w:pPr>
            <w:tabs>
              <w:tab w:val="center" w:pos="4419" w:leader="none"/>
              <w:tab w:val="right" w:pos="8838" w:leader="none"/>
            </w:tabs>
            <w:rPr>
              <w:color w:val="0000FF"/>
              <w:sz w:val="18"/>
              <w:szCs w:val="18"/>
              <w:u w:val="single"/>
            </w:rPr>
          </w:pPr>
          <w:r/>
          <w:hyperlink r:id="rId1" w:tooltip="http://www.culturarecreacionydeporte.gov.co/" w:history="1">
            <w:r>
              <w:rPr>
                <w:color w:val="0000FF"/>
                <w:sz w:val="18"/>
                <w:szCs w:val="18"/>
                <w:u w:val="single"/>
              </w:rPr>
              <w:t xml:space="preserve">www.culturarecreacionydeporte.gov.co</w:t>
            </w:r>
          </w:hyperlink>
          <w:r/>
          <w:r/>
        </w:p>
        <w:p>
          <w:pPr>
            <w:tabs>
              <w:tab w:val="center" w:pos="4419" w:leader="none"/>
              <w:tab w:val="right" w:pos="8838" w:leader="none"/>
            </w:tabs>
            <w:rPr>
              <w:color w:val="000000"/>
            </w:rPr>
          </w:pPr>
          <w:r>
            <w:rPr>
              <w:color w:val="000000"/>
              <w:sz w:val="18"/>
              <w:szCs w:val="18"/>
            </w:rPr>
            <w:t xml:space="preserve">Información: Línea 195</w:t>
          </w:r>
          <w:r/>
        </w:p>
      </w:tc>
      <w:tc>
        <w:tcPr>
          <w:tcW w:w="1843" w:type="dxa"/>
          <w:textDirection w:val="lrTb"/>
          <w:noWrap w:val="false"/>
        </w:tcPr>
        <w:p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  <w:p>
          <w:pPr>
            <w:rPr>
              <w:color w:val="595959"/>
              <w:sz w:val="12"/>
              <w:szCs w:val="12"/>
            </w:rPr>
          </w:pPr>
          <w:r>
            <w:rPr>
              <w:color w:val="595959"/>
              <w:sz w:val="12"/>
              <w:szCs w:val="12"/>
            </w:rPr>
            <w:t xml:space="preserve">      </w:t>
          </w:r>
          <w:r/>
        </w:p>
        <w:p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</w:tc>
      <w:tc>
        <w:tcPr>
          <w:tcW w:w="2836" w:type="dxa"/>
          <w:textDirection w:val="lrTb"/>
          <w:noWrap w:val="false"/>
        </w:tcPr>
        <w:p>
          <w:pPr>
            <w:jc w:val="center"/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</w:pPr>
          <w:r>
            <w:rPr>
              <w:rFonts w:ascii="Arial" w:hAnsi="Arial" w:cs="Arial" w:eastAsia="Arial"/>
              <w:color w:val="000000"/>
              <w:sz w:val="14"/>
              <w:szCs w:val="14"/>
            </w:rPr>
            <w:t xml:space="preserve">Página </w:t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instrText xml:space="preserve">PAGE</w:instrText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t xml:space="preserve">1</w:t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fldChar w:fldCharType="end"/>
          </w:r>
          <w:r>
            <w:rPr>
              <w:rFonts w:ascii="Arial" w:hAnsi="Arial" w:cs="Arial" w:eastAsia="Arial"/>
              <w:color w:val="000000"/>
              <w:sz w:val="14"/>
              <w:szCs w:val="14"/>
            </w:rPr>
            <w:t xml:space="preserve"> de </w:t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instrText xml:space="preserve">NUMPAGES</w:instrText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fldChar w:fldCharType="separate"/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t xml:space="preserve">2</w:t>
          </w:r>
          <w:r>
            <w:rPr>
              <w:rFonts w:ascii="Arial" w:hAnsi="Arial" w:cs="Arial" w:eastAsia="Arial"/>
              <w:b/>
              <w:bCs/>
              <w:color w:val="000000"/>
              <w:sz w:val="14"/>
              <w:szCs w:val="14"/>
            </w:rPr>
            <w:fldChar w:fldCharType="end"/>
          </w:r>
          <w:r/>
        </w:p>
        <w:p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GMC-MN-01-FR-06. v.1 23/03/2023</w:t>
          </w:r>
          <w:r/>
        </w:p>
        <w:p>
          <w:pPr>
            <w:tabs>
              <w:tab w:val="left" w:pos="1883" w:leader="none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  <w:r/>
        </w:p>
      </w:tc>
      <w:tc>
        <w:tcPr>
          <w:tcW w:w="1322" w:type="dxa"/>
          <w:textDirection w:val="lrTb"/>
          <w:noWrap w:val="false"/>
        </w:tcPr>
        <w:p>
          <w:pPr>
            <w:jc w:val="center"/>
            <w:tabs>
              <w:tab w:val="center" w:pos="4419" w:leader="none"/>
              <w:tab w:val="right" w:pos="8838" w:leader="none"/>
            </w:tabs>
            <w:rPr>
              <w:color w:val="000000"/>
            </w:rPr>
          </w:pPr>
          <w:r>
            <w:rPr>
              <w:color w:val="000000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489755" cy="584985"/>
                    <wp:effectExtent l="0" t="0" r="0" b="0"/>
                    <wp:docPr id="2" name="image1.png" hidden="false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" name="image1.png" hidden="0"/>
                            <pic:cNvPicPr/>
                            <pic:nvPr isPhoto="0" userDrawn="0"/>
                          </pic:nvPicPr>
                          <pic:blipFill>
                            <a:blip r:embed="rId2"/>
                            <a:stretch/>
                          </pic:blipFill>
                          <pic:spPr bwMode="auto">
                            <a:xfrm>
                              <a:off x="0" y="0"/>
                              <a:ext cx="489755" cy="58498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mso-wrap-distance-left:0.0pt;mso-wrap-distance-top:0.0pt;mso-wrap-distance-right:0.0pt;mso-wrap-distance-bottom:0.0pt;width:38.6pt;height:46.1pt;">
                    <v:path textboxrect="0,0,0,0"/>
                    <v:imagedata r:id="rId2" o:title=""/>
                  </v:shape>
                </w:pict>
              </mc:Fallback>
            </mc:AlternateContent>
          </w:r>
          <w:r/>
        </w:p>
        <w:p>
          <w:pPr>
            <w:jc w:val="center"/>
            <w:tabs>
              <w:tab w:val="center" w:pos="4419" w:leader="none"/>
              <w:tab w:val="right" w:pos="8838" w:leader="none"/>
            </w:tabs>
            <w:rPr>
              <w:color w:val="000000"/>
              <w:sz w:val="12"/>
              <w:szCs w:val="12"/>
            </w:rPr>
          </w:pPr>
          <w:r>
            <w:rPr>
              <w:color w:val="000000"/>
              <w:sz w:val="12"/>
              <w:szCs w:val="12"/>
            </w:rPr>
            <w:t xml:space="preserve">ALCALDÍA MAYOR</w:t>
          </w:r>
          <w:r/>
        </w:p>
        <w:p>
          <w:pPr>
            <w:jc w:val="center"/>
            <w:tabs>
              <w:tab w:val="center" w:pos="4419" w:leader="none"/>
              <w:tab w:val="right" w:pos="8838" w:leader="none"/>
            </w:tabs>
            <w:rPr>
              <w:color w:val="000000"/>
            </w:rPr>
          </w:pPr>
          <w:r>
            <w:rPr>
              <w:color w:val="000000"/>
              <w:sz w:val="12"/>
              <w:szCs w:val="12"/>
            </w:rPr>
            <w:t xml:space="preserve">DE BOGOTÁ D.C.</w:t>
          </w:r>
          <w:r/>
        </w:p>
      </w:tc>
    </w:tr>
  </w:tbl>
  <w:p>
    <w:pPr>
      <w:jc w:val="right"/>
      <w:tabs>
        <w:tab w:val="center" w:pos="4419" w:leader="none"/>
        <w:tab w:val="right" w:pos="8838" w:leader="none"/>
      </w:tabs>
      <w:rPr>
        <w:color w:val="000000"/>
      </w:r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r>
      <w:rPr>
        <w:color w:val="00000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Rule="auto" w:line="276"/>
      <w:widowControl w:val="off"/>
      <w:rPr>
        <w:rFonts w:ascii="Arial" w:hAnsi="Arial" w:cs="Arial" w:eastAsia="Arial"/>
        <w:sz w:val="16"/>
        <w:szCs w:val="16"/>
      </w:r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r>
      <w:rPr>
        <w:rFonts w:ascii="Arial" w:hAnsi="Arial" w:cs="Arial" w:eastAsia="Arial"/>
        <w:sz w:val="16"/>
        <w:szCs w:val="16"/>
      </w:rPr>
    </w:r>
    <w:r/>
  </w:p>
  <w:tbl>
    <w:tblPr>
      <w:tblStyle w:val="911"/>
      <w:tblW w:w="9972" w:type="dxa"/>
      <w:tblInd w:w="0" w:type="dxa"/>
      <w:tblLayout w:type="fixed"/>
      <w:tblLook w:val="0400" w:firstRow="0" w:lastRow="0" w:firstColumn="0" w:lastColumn="0" w:noHBand="0" w:noVBand="1"/>
    </w:tblPr>
    <w:tblGrid>
      <w:gridCol w:w="1698"/>
      <w:gridCol w:w="5183"/>
      <w:gridCol w:w="3091"/>
    </w:tblGrid>
    <w:tr>
      <w:trPr>
        <w:trHeight w:val="1443"/>
      </w:trPr>
      <w:tc>
        <w:tcPr>
          <w:tcW w:w="1698" w:type="dxa"/>
          <w:vAlign w:val="center"/>
          <w:textDirection w:val="lrTb"/>
          <w:noWrap w:val="false"/>
        </w:tcPr>
        <w:p>
          <w:pPr>
            <w:jc w:val="center"/>
            <w:tabs>
              <w:tab w:val="center" w:pos="4419" w:leader="none"/>
              <w:tab w:val="right" w:pos="8838" w:leader="none"/>
            </w:tabs>
            <w:rPr>
              <w:color w:val="000000"/>
            </w:rPr>
            <w:pBdr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  <w:between w:val="none" w:color="000000" w:sz="4" w:space="0"/>
            </w:pBdr>
          </w:pPr>
          <w:r>
            <w:rPr>
              <w:color w:val="000000"/>
            </w:rPr>
          </w:r>
          <w:r/>
        </w:p>
      </w:tc>
      <w:tc>
        <w:tcPr>
          <w:tcW w:w="5183" w:type="dxa"/>
          <w:vAlign w:val="center"/>
          <w:textDirection w:val="lrTb"/>
          <w:noWrap w:val="false"/>
        </w:tcPr>
        <w:p>
          <w:pPr>
            <w:jc w:val="right"/>
            <w:tabs>
              <w:tab w:val="center" w:pos="4419" w:leader="none"/>
              <w:tab w:val="right" w:pos="8838" w:leader="none"/>
            </w:tabs>
            <w:rPr>
              <w:color w:val="000000"/>
            </w:rPr>
            <w:pBdr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  <w:between w:val="none" w:color="000000" w:sz="4" w:space="0"/>
            </w:pBdr>
          </w:pPr>
          <w:r>
            <w:rPr>
              <w:color w:val="000000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871358" cy="660082"/>
                    <wp:effectExtent l="0" t="0" r="0" b="0"/>
                    <wp:docPr id="1" name="image2.png" hidden="false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image2.png" hidden="0"/>
                            <pic:cNvPicPr/>
                            <pic:nvPr isPhoto="0" userDrawn="0"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871358" cy="660082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mso-wrap-distance-left:0.0pt;mso-wrap-distance-top:0.0pt;mso-wrap-distance-right:0.0pt;mso-wrap-distance-bottom:0.0pt;width:226.1pt;height:52.0pt;">
                    <v:path textboxrect="0,0,0,0"/>
                    <v:imagedata r:id="rId1" o:title=""/>
                  </v:shape>
                </w:pict>
              </mc:Fallback>
            </mc:AlternateContent>
          </w:r>
          <w:r/>
        </w:p>
      </w:tc>
      <w:tc>
        <w:tcPr>
          <w:tcW w:w="3091" w:type="dxa"/>
          <w:vAlign w:val="center"/>
          <w:textDirection w:val="lrTb"/>
          <w:noWrap w:val="false"/>
        </w:tcPr>
        <w:p>
          <w:pPr>
            <w:jc w:val="right"/>
            <w:tabs>
              <w:tab w:val="left" w:pos="1485" w:leader="none"/>
            </w:tabs>
            <w:rPr>
              <w:rFonts w:ascii="Code3of9" w:hAnsi="Code3of9" w:cs="Code3of9" w:eastAsia="Code3of9"/>
              <w:sz w:val="28"/>
              <w:szCs w:val="28"/>
            </w:rPr>
          </w:pPr>
          <w:r>
            <w:rPr>
              <w:rFonts w:ascii="Code3of9" w:hAnsi="Code3of9" w:cs="Code3of9" w:eastAsia="Code3of9"/>
              <w:sz w:val="28"/>
              <w:szCs w:val="28"/>
            </w:rPr>
            <w:t xml:space="preserve">*RAD_S*</w:t>
          </w:r>
          <w:r/>
        </w:p>
        <w:p>
          <w:pPr>
            <w:jc w:val="right"/>
            <w:tabs>
              <w:tab w:val="left" w:pos="1485" w:leader="none"/>
            </w:tabs>
            <w:rPr>
              <w:rFonts w:ascii="Arial" w:hAnsi="Arial" w:cs="Arial" w:eastAsia="Arial"/>
              <w:sz w:val="12"/>
              <w:szCs w:val="12"/>
            </w:rPr>
          </w:pPr>
          <w:r>
            <w:rPr>
              <w:rFonts w:ascii="Arial" w:hAnsi="Arial" w:cs="Arial" w:eastAsia="Arial"/>
              <w:sz w:val="12"/>
              <w:szCs w:val="12"/>
            </w:rPr>
            <w:t xml:space="preserve">Al contestar, citar el número:</w:t>
          </w:r>
          <w:r/>
        </w:p>
        <w:p>
          <w:pPr>
            <w:jc w:val="right"/>
            <w:tabs>
              <w:tab w:val="left" w:pos="1485" w:leader="none"/>
            </w:tabs>
            <w:rPr>
              <w:rFonts w:ascii="Arial" w:hAnsi="Arial" w:cs="Arial" w:eastAsia="Arial"/>
              <w:b/>
              <w:bCs/>
            </w:rPr>
          </w:pPr>
          <w:r>
            <w:rPr>
              <w:rFonts w:ascii="Arial" w:hAnsi="Arial" w:cs="Arial" w:eastAsia="Arial"/>
              <w:sz w:val="16"/>
              <w:szCs w:val="16"/>
            </w:rPr>
            <w:t xml:space="preserve">Radicado:</w:t>
          </w:r>
          <w:r>
            <w:rPr>
              <w:rFonts w:ascii="Arial" w:hAnsi="Arial" w:cs="Arial" w:eastAsia="Arial"/>
            </w:rPr>
            <w:t xml:space="preserve"> </w:t>
          </w:r>
          <w:r>
            <w:rPr>
              <w:rFonts w:ascii="Arial" w:hAnsi="Arial" w:cs="Arial" w:eastAsia="Arial"/>
              <w:b/>
              <w:bCs/>
            </w:rPr>
            <w:t xml:space="preserve">RAD_S</w:t>
          </w:r>
          <w:r/>
        </w:p>
        <w:p>
          <w:pPr>
            <w:jc w:val="right"/>
            <w:tabs>
              <w:tab w:val="left" w:pos="1485" w:leader="none"/>
            </w:tabs>
            <w:rPr>
              <w:rFonts w:ascii="Arial" w:hAnsi="Arial" w:cs="Arial" w:eastAsia="Arial"/>
            </w:rPr>
          </w:pPr>
          <w:r>
            <w:rPr>
              <w:rFonts w:ascii="Arial" w:hAnsi="Arial" w:cs="Arial" w:eastAsia="Arial"/>
              <w:sz w:val="16"/>
              <w:szCs w:val="16"/>
            </w:rPr>
            <w:t xml:space="preserve">Fecha:</w:t>
          </w:r>
          <w:r>
            <w:rPr>
              <w:rFonts w:ascii="Arial" w:hAnsi="Arial" w:cs="Arial" w:eastAsia="Arial"/>
            </w:rPr>
            <w:t xml:space="preserve"> F_RAD_S</w:t>
          </w:r>
          <w:r/>
        </w:p>
        <w:p>
          <w:pPr>
            <w:jc w:val="right"/>
            <w:tabs>
              <w:tab w:val="left" w:pos="1485" w:leader="none"/>
            </w:tabs>
            <w:rPr>
              <w:rFonts w:ascii="Arial" w:hAnsi="Arial" w:cs="Arial" w:eastAsia="Arial"/>
              <w:sz w:val="18"/>
              <w:szCs w:val="18"/>
            </w:rPr>
          </w:pPr>
          <w:r>
            <w:rPr>
              <w:rFonts w:ascii="Arial" w:hAnsi="Arial" w:cs="Arial" w:eastAsia="Arial"/>
              <w:sz w:val="18"/>
              <w:szCs w:val="18"/>
            </w:rPr>
          </w:r>
          <w:r/>
        </w:p>
        <w:p>
          <w:pPr>
            <w:jc w:val="right"/>
            <w:tabs>
              <w:tab w:val="left" w:pos="1485" w:leader="none"/>
            </w:tabs>
            <w:rPr>
              <w:rFonts w:ascii="Arial" w:hAnsi="Arial" w:cs="Arial" w:eastAsia="Arial"/>
              <w:sz w:val="18"/>
              <w:szCs w:val="18"/>
            </w:rPr>
          </w:pPr>
          <w:r>
            <w:rPr>
              <w:rFonts w:ascii="Arial" w:hAnsi="Arial" w:cs="Arial" w:eastAsia="Arial"/>
              <w:sz w:val="18"/>
              <w:szCs w:val="18"/>
            </w:rPr>
          </w:r>
          <w:r/>
        </w:p>
      </w:tc>
    </w:tr>
  </w:tbl>
  <w:p>
    <w:pPr>
      <w:ind w:hanging="2"/>
      <w:jc w:val="center"/>
      <w:spacing w:lineRule="auto" w:line="276"/>
      <w:rPr>
        <w:rFonts w:ascii="Arial" w:hAnsi="Arial" w:cs="Arial" w:eastAsia="Arial"/>
        <w:b/>
        <w:bCs/>
        <w:sz w:val="22"/>
        <w:szCs w:val="22"/>
      </w:rPr>
    </w:pPr>
    <w:r>
      <w:rPr>
        <w:rFonts w:ascii="Arial" w:hAnsi="Arial" w:cs="Arial" w:eastAsia="Arial"/>
        <w:b/>
        <w:bCs/>
        <w:sz w:val="22"/>
        <w:szCs w:val="22"/>
      </w:rPr>
      <w:tab/>
    </w:r>
    <w:r/>
  </w:p>
  <w:p>
    <w:pPr>
      <w:ind w:hanging="2"/>
      <w:jc w:val="center"/>
      <w:spacing w:lineRule="auto" w:line="276"/>
      <w:rPr>
        <w:rFonts w:ascii="Times New Roman" w:hAnsi="Times New Roman" w:cs="Times New Roman" w:eastAsia="Times New Roman"/>
        <w:b/>
        <w:bCs/>
      </w:rPr>
    </w:pPr>
    <w:r>
      <w:rPr>
        <w:rFonts w:ascii="Times New Roman" w:hAnsi="Times New Roman" w:cs="Times New Roman" w:eastAsia="Times New Roman"/>
        <w:b/>
        <w:bCs/>
      </w:rPr>
      <w:t xml:space="preserve">RESOLUCIÓN No._____________________ DE</w:t>
    </w:r>
    <w:r/>
  </w:p>
  <w:p>
    <w:pPr>
      <w:ind w:hanging="2"/>
      <w:jc w:val="center"/>
      <w:spacing w:lineRule="auto" w:line="276"/>
      <w:rPr>
        <w:rFonts w:ascii="Times New Roman" w:hAnsi="Times New Roman" w:cs="Times New Roman" w:eastAsia="Times New Roman"/>
        <w:b/>
        <w:bCs/>
      </w:rPr>
    </w:pPr>
    <w:r>
      <w:rPr>
        <w:rFonts w:ascii="Times New Roman" w:hAnsi="Times New Roman" w:cs="Times New Roman" w:eastAsia="Times New Roman"/>
        <w:b/>
        <w:bCs/>
      </w:rPr>
    </w:r>
    <w:r/>
  </w:p>
  <w:p>
    <w:pPr>
      <w:ind w:hanging="2"/>
      <w:jc w:val="center"/>
      <w:spacing w:lineRule="auto" w:line="276"/>
      <w:rPr>
        <w:rFonts w:ascii="Times New Roman" w:hAnsi="Times New Roman" w:cs="Times New Roman" w:eastAsia="Times New Roman"/>
        <w:b/>
        <w:bCs/>
      </w:rPr>
    </w:pPr>
    <w:r>
      <w:rPr>
        <w:rFonts w:ascii="Times New Roman" w:hAnsi="Times New Roman" w:cs="Times New Roman" w:eastAsia="Times New Roman"/>
        <w:b/>
        <w:bCs/>
      </w:rPr>
      <w:t xml:space="preserve"> (                        )</w:t>
    </w:r>
    <w:r/>
  </w:p>
  <w:p>
    <w:pPr>
      <w:ind w:hanging="2"/>
      <w:jc w:val="center"/>
      <w:spacing w:lineRule="auto" w:line="276"/>
      <w:rPr>
        <w:rFonts w:ascii="Times New Roman" w:hAnsi="Times New Roman" w:cs="Times New Roman" w:eastAsia="Times New Roman"/>
        <w:b/>
        <w:bCs/>
      </w:rPr>
    </w:pPr>
    <w:r>
      <w:rPr>
        <w:rFonts w:ascii="Times New Roman" w:hAnsi="Times New Roman" w:cs="Times New Roman" w:eastAsia="Times New Roman"/>
        <w:b/>
        <w:bCs/>
      </w:rPr>
    </w:r>
    <w:r/>
  </w:p>
  <w:p>
    <w:pPr>
      <w:ind w:hanging="2"/>
      <w:jc w:val="center"/>
      <w:spacing w:lineRule="auto" w:line="276"/>
      <w:rPr>
        <w:rFonts w:ascii="Times New Roman" w:hAnsi="Times New Roman" w:cs="Times New Roman" w:eastAsia="Times New Roman"/>
      </w:rPr>
    </w:pPr>
    <w:r>
      <w:rPr>
        <w:rFonts w:ascii="Times New Roman" w:hAnsi="Times New Roman" w:cs="Times New Roman" w:eastAsia="Times New Roman"/>
      </w:rPr>
      <w:t xml:space="preserve">“Por medio de la cual se determina e implementa la zona y el plan de manejo del Parque Simón Bolívar (Sector Central) identificado con código 13-089 para la realización de las ¨Actividades Artísticas Reguladas¨ en el espacio público”.</w:t>
    </w:r>
    <w:r/>
  </w:p>
  <w:p>
    <w:pPr>
      <w:spacing w:lineRule="auto" w:line="276"/>
      <w:rPr>
        <w:rFonts w:ascii="Arial" w:hAnsi="Arial" w:cs="Arial" w:eastAsia="Arial"/>
        <w:b/>
        <w:bCs/>
        <w:i/>
        <w:iCs/>
      </w:rPr>
    </w:pPr>
    <w:r>
      <w:rPr>
        <w:rFonts w:ascii="Arial" w:hAnsi="Arial" w:cs="Arial" w:eastAsia="Arial"/>
        <w:b/>
        <w:bCs/>
        <w:i/>
        <w:iCs/>
      </w:rPr>
    </w:r>
    <w:r/>
  </w:p>
  <w:p>
    <w:pPr>
      <w:jc w:val="center"/>
      <w:tabs>
        <w:tab w:val="center" w:pos="4419" w:leader="none"/>
        <w:tab w:val="right" w:pos="8838" w:leader="none"/>
      </w:tabs>
      <w:rPr>
        <w:rFonts w:ascii="Arial" w:hAnsi="Arial" w:cs="Arial" w:eastAsia="Arial"/>
        <w:color w:val="000000"/>
        <w:sz w:val="8"/>
        <w:szCs w:val="8"/>
      </w:r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r>
      <w:rPr>
        <w:rFonts w:ascii="Arial" w:hAnsi="Arial" w:cs="Arial" w:eastAsia="Arial"/>
        <w:color w:val="000000"/>
        <w:sz w:val="8"/>
        <w:szCs w:val="8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4"/>
        <w:szCs w:val="24"/>
        <w:lang w:val="es" w:bidi="ar-SA" w:eastAsia="es-CO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882"/>
    <w:link w:val="876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882"/>
    <w:link w:val="877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882"/>
    <w:link w:val="878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882"/>
    <w:link w:val="879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882"/>
    <w:link w:val="880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882"/>
    <w:link w:val="88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75"/>
    <w:next w:val="875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882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75"/>
    <w:next w:val="875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882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75"/>
    <w:next w:val="875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882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75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882"/>
    <w:link w:val="886"/>
    <w:uiPriority w:val="10"/>
    <w:rPr>
      <w:sz w:val="48"/>
      <w:szCs w:val="48"/>
    </w:rPr>
  </w:style>
  <w:style w:type="character" w:styleId="35">
    <w:name w:val="Subtitle Char"/>
    <w:basedOn w:val="882"/>
    <w:link w:val="908"/>
    <w:uiPriority w:val="11"/>
    <w:rPr>
      <w:sz w:val="24"/>
      <w:szCs w:val="24"/>
    </w:rPr>
  </w:style>
  <w:style w:type="paragraph" w:styleId="36">
    <w:name w:val="Quote"/>
    <w:basedOn w:val="875"/>
    <w:next w:val="875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75"/>
    <w:next w:val="875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882"/>
    <w:link w:val="893"/>
    <w:uiPriority w:val="99"/>
  </w:style>
  <w:style w:type="character" w:styleId="43">
    <w:name w:val="Footer Char"/>
    <w:basedOn w:val="882"/>
    <w:link w:val="895"/>
    <w:uiPriority w:val="99"/>
  </w:style>
  <w:style w:type="paragraph" w:styleId="44">
    <w:name w:val="Caption"/>
    <w:basedOn w:val="875"/>
    <w:next w:val="875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895"/>
    <w:uiPriority w:val="99"/>
  </w:style>
  <w:style w:type="table" w:styleId="46">
    <w:name w:val="Table Grid"/>
    <w:basedOn w:val="88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88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88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88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8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8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8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8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8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8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8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8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8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8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8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8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8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8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8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8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8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8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8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8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8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8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75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882"/>
    <w:uiPriority w:val="99"/>
    <w:unhideWhenUsed/>
    <w:rPr>
      <w:vertAlign w:val="superscript"/>
    </w:rPr>
  </w:style>
  <w:style w:type="paragraph" w:styleId="176">
    <w:name w:val="endnote text"/>
    <w:basedOn w:val="875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882"/>
    <w:uiPriority w:val="99"/>
    <w:semiHidden/>
    <w:unhideWhenUsed/>
    <w:rPr>
      <w:vertAlign w:val="superscript"/>
    </w:rPr>
  </w:style>
  <w:style w:type="paragraph" w:styleId="179">
    <w:name w:val="toc 1"/>
    <w:basedOn w:val="875"/>
    <w:next w:val="875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75"/>
    <w:next w:val="875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75"/>
    <w:next w:val="875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75"/>
    <w:next w:val="875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75"/>
    <w:next w:val="875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75"/>
    <w:next w:val="875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75"/>
    <w:next w:val="875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75"/>
    <w:next w:val="875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75"/>
    <w:next w:val="875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75"/>
    <w:next w:val="875"/>
    <w:uiPriority w:val="99"/>
    <w:unhideWhenUsed/>
    <w:pPr>
      <w:spacing w:after="0" w:afterAutospacing="0"/>
    </w:pPr>
  </w:style>
  <w:style w:type="paragraph" w:styleId="875" w:default="1">
    <w:name w:val="Normal"/>
    <w:qFormat/>
  </w:style>
  <w:style w:type="paragraph" w:styleId="876">
    <w:name w:val="Heading 1"/>
    <w:basedOn w:val="875"/>
    <w:next w:val="875"/>
    <w:qFormat/>
    <w:uiPriority w:val="9"/>
    <w:rPr>
      <w:b/>
      <w:bCs/>
      <w:sz w:val="48"/>
      <w:szCs w:val="48"/>
    </w:rPr>
    <w:pPr>
      <w:keepLines/>
      <w:keepNext/>
      <w:spacing w:after="120" w:before="480"/>
      <w:outlineLvl w:val="0"/>
    </w:pPr>
  </w:style>
  <w:style w:type="paragraph" w:styleId="877">
    <w:name w:val="Heading 2"/>
    <w:basedOn w:val="875"/>
    <w:next w:val="875"/>
    <w:qFormat/>
    <w:uiPriority w:val="9"/>
    <w:semiHidden/>
    <w:unhideWhenUsed/>
    <w:rPr>
      <w:b/>
      <w:bCs/>
      <w:sz w:val="36"/>
      <w:szCs w:val="36"/>
    </w:rPr>
    <w:pPr>
      <w:keepLines/>
      <w:keepNext/>
      <w:spacing w:after="80" w:before="360"/>
      <w:outlineLvl w:val="1"/>
    </w:pPr>
  </w:style>
  <w:style w:type="paragraph" w:styleId="878">
    <w:name w:val="Heading 3"/>
    <w:basedOn w:val="875"/>
    <w:next w:val="875"/>
    <w:qFormat/>
    <w:uiPriority w:val="9"/>
    <w:semiHidden/>
    <w:unhideWhenUsed/>
    <w:rPr>
      <w:b/>
      <w:bCs/>
      <w:sz w:val="28"/>
      <w:szCs w:val="28"/>
    </w:rPr>
    <w:pPr>
      <w:keepLines/>
      <w:keepNext/>
      <w:spacing w:after="80" w:before="280"/>
      <w:outlineLvl w:val="2"/>
    </w:pPr>
  </w:style>
  <w:style w:type="paragraph" w:styleId="879">
    <w:name w:val="Heading 4"/>
    <w:basedOn w:val="875"/>
    <w:next w:val="875"/>
    <w:qFormat/>
    <w:uiPriority w:val="9"/>
    <w:semiHidden/>
    <w:unhideWhenUsed/>
    <w:rPr>
      <w:b/>
      <w:bCs/>
    </w:rPr>
    <w:pPr>
      <w:keepLines/>
      <w:keepNext/>
      <w:spacing w:after="40" w:before="240"/>
      <w:outlineLvl w:val="3"/>
    </w:pPr>
  </w:style>
  <w:style w:type="paragraph" w:styleId="880">
    <w:name w:val="Heading 5"/>
    <w:basedOn w:val="875"/>
    <w:next w:val="875"/>
    <w:qFormat/>
    <w:uiPriority w:val="9"/>
    <w:semiHidden/>
    <w:unhideWhenUsed/>
    <w:rPr>
      <w:b/>
      <w:bCs/>
      <w:sz w:val="22"/>
      <w:szCs w:val="22"/>
    </w:rPr>
    <w:pPr>
      <w:keepLines/>
      <w:keepNext/>
      <w:spacing w:after="40" w:before="220"/>
      <w:outlineLvl w:val="4"/>
    </w:pPr>
  </w:style>
  <w:style w:type="paragraph" w:styleId="881">
    <w:name w:val="Heading 6"/>
    <w:basedOn w:val="875"/>
    <w:next w:val="875"/>
    <w:qFormat/>
    <w:uiPriority w:val="9"/>
    <w:semiHidden/>
    <w:unhideWhenUsed/>
    <w:rPr>
      <w:b/>
      <w:bCs/>
      <w:sz w:val="20"/>
      <w:szCs w:val="20"/>
    </w:rPr>
    <w:pPr>
      <w:keepLines/>
      <w:keepNext/>
      <w:spacing w:after="40" w:before="200"/>
      <w:outlineLvl w:val="5"/>
    </w:pPr>
  </w:style>
  <w:style w:type="character" w:styleId="882" w:default="1">
    <w:name w:val="Default Paragraph Font"/>
    <w:uiPriority w:val="1"/>
    <w:semiHidden/>
    <w:unhideWhenUsed/>
  </w:style>
  <w:style w:type="table" w:styleId="8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4" w:default="1">
    <w:name w:val="No List"/>
    <w:uiPriority w:val="99"/>
    <w:semiHidden/>
    <w:unhideWhenUsed/>
  </w:style>
  <w:style w:type="table" w:styleId="885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886">
    <w:name w:val="Title"/>
    <w:basedOn w:val="875"/>
    <w:next w:val="875"/>
    <w:qFormat/>
    <w:uiPriority w:val="10"/>
    <w:rPr>
      <w:b/>
      <w:bCs/>
      <w:sz w:val="72"/>
      <w:szCs w:val="72"/>
    </w:rPr>
    <w:pPr>
      <w:keepLines/>
      <w:keepNext/>
      <w:spacing w:after="120" w:before="480"/>
    </w:pPr>
  </w:style>
  <w:style w:type="table" w:styleId="887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table" w:styleId="888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table" w:styleId="889" w:customStyle="1">
    <w:name w:val="StGen0"/>
    <w:basedOn w:val="888"/>
    <w:tblPr>
      <w:tblStyleRowBandSize w:val="1"/>
      <w:tblStyleColBandSize w:val="1"/>
      <w:tblCellMar>
        <w:left w:w="55" w:type="dxa"/>
        <w:top w:w="55" w:type="dxa"/>
        <w:right w:w="55" w:type="dxa"/>
        <w:bottom w:w="55" w:type="dxa"/>
      </w:tblCellMar>
    </w:tblPr>
  </w:style>
  <w:style w:type="table" w:styleId="890" w:customStyle="1">
    <w:name w:val="StGen1"/>
    <w:basedOn w:val="888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StGen2"/>
    <w:basedOn w:val="88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92" w:customStyle="1">
    <w:name w:val="StGen3"/>
    <w:basedOn w:val="88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893">
    <w:name w:val="Header"/>
    <w:basedOn w:val="875"/>
    <w:link w:val="894"/>
    <w:uiPriority w:val="99"/>
    <w:unhideWhenUsed/>
    <w:pPr>
      <w:tabs>
        <w:tab w:val="center" w:pos="4419" w:leader="none"/>
        <w:tab w:val="right" w:pos="8838" w:leader="none"/>
      </w:tabs>
    </w:pPr>
  </w:style>
  <w:style w:type="character" w:styleId="894" w:customStyle="1">
    <w:name w:val="Encabezado Car"/>
    <w:basedOn w:val="882"/>
    <w:link w:val="893"/>
    <w:uiPriority w:val="99"/>
  </w:style>
  <w:style w:type="paragraph" w:styleId="895">
    <w:name w:val="Footer"/>
    <w:basedOn w:val="875"/>
    <w:link w:val="896"/>
    <w:uiPriority w:val="99"/>
    <w:unhideWhenUsed/>
    <w:pPr>
      <w:tabs>
        <w:tab w:val="center" w:pos="4419" w:leader="none"/>
        <w:tab w:val="right" w:pos="8838" w:leader="none"/>
      </w:tabs>
    </w:pPr>
  </w:style>
  <w:style w:type="character" w:styleId="896" w:customStyle="1">
    <w:name w:val="Pie de página Car"/>
    <w:basedOn w:val="882"/>
    <w:link w:val="895"/>
    <w:uiPriority w:val="99"/>
  </w:style>
  <w:style w:type="paragraph" w:styleId="897">
    <w:name w:val="Revision"/>
    <w:uiPriority w:val="99"/>
    <w:hidden/>
    <w:semiHidden/>
  </w:style>
  <w:style w:type="paragraph" w:styleId="898" w:customStyle="1">
    <w:name w:val="Text body"/>
    <w:basedOn w:val="875"/>
    <w:rPr>
      <w:rFonts w:ascii="Times New Roman" w:hAnsi="Times New Roman" w:cs="Times New Roman" w:eastAsia="Times New Roman"/>
      <w:sz w:val="20"/>
      <w:szCs w:val="20"/>
      <w:lang w:val="es-ES" w:bidi="es-ES" w:eastAsia="zh-CN"/>
    </w:rPr>
    <w:pPr>
      <w:spacing w:after="120"/>
      <w:widowControl w:val="off"/>
    </w:pPr>
  </w:style>
  <w:style w:type="character" w:styleId="899">
    <w:name w:val="annotation reference"/>
    <w:basedOn w:val="882"/>
    <w:uiPriority w:val="99"/>
    <w:semiHidden/>
    <w:unhideWhenUsed/>
    <w:rPr>
      <w:sz w:val="16"/>
      <w:szCs w:val="16"/>
    </w:rPr>
  </w:style>
  <w:style w:type="paragraph" w:styleId="900">
    <w:name w:val="annotation text"/>
    <w:basedOn w:val="875"/>
    <w:link w:val="901"/>
    <w:uiPriority w:val="99"/>
    <w:unhideWhenUsed/>
    <w:rPr>
      <w:sz w:val="20"/>
      <w:szCs w:val="20"/>
    </w:rPr>
  </w:style>
  <w:style w:type="character" w:styleId="901" w:customStyle="1">
    <w:name w:val="Texto comentario Car"/>
    <w:basedOn w:val="882"/>
    <w:link w:val="900"/>
    <w:uiPriority w:val="99"/>
    <w:rPr>
      <w:sz w:val="20"/>
      <w:szCs w:val="20"/>
    </w:rPr>
  </w:style>
  <w:style w:type="paragraph" w:styleId="902">
    <w:name w:val="annotation subject"/>
    <w:basedOn w:val="900"/>
    <w:next w:val="900"/>
    <w:link w:val="903"/>
    <w:uiPriority w:val="99"/>
    <w:semiHidden/>
    <w:unhideWhenUsed/>
    <w:rPr>
      <w:b/>
      <w:bCs/>
    </w:rPr>
  </w:style>
  <w:style w:type="character" w:styleId="903" w:customStyle="1">
    <w:name w:val="Asunto del comentario Car"/>
    <w:basedOn w:val="901"/>
    <w:link w:val="902"/>
    <w:uiPriority w:val="99"/>
    <w:semiHidden/>
    <w:rPr>
      <w:b/>
      <w:bCs/>
      <w:sz w:val="20"/>
      <w:szCs w:val="20"/>
    </w:rPr>
  </w:style>
  <w:style w:type="table" w:styleId="904" w:customStyle="1">
    <w:name w:val="StGen4"/>
    <w:basedOn w:val="888"/>
    <w:tblPr>
      <w:tblStyleRowBandSize w:val="1"/>
      <w:tblStyleColBandSize w:val="1"/>
      <w:tblCellMar>
        <w:left w:w="55" w:type="dxa"/>
        <w:top w:w="55" w:type="dxa"/>
        <w:right w:w="55" w:type="dxa"/>
        <w:bottom w:w="55" w:type="dxa"/>
      </w:tblCellMar>
    </w:tblPr>
  </w:style>
  <w:style w:type="table" w:styleId="905" w:customStyle="1">
    <w:name w:val="StGen5"/>
    <w:basedOn w:val="888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StGen6"/>
    <w:basedOn w:val="88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07" w:customStyle="1">
    <w:name w:val="StGen7"/>
    <w:basedOn w:val="88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908">
    <w:name w:val="Subtitle"/>
    <w:basedOn w:val="875"/>
    <w:next w:val="875"/>
    <w:qFormat/>
    <w:uiPriority w:val="11"/>
    <w:rPr>
      <w:rFonts w:ascii="Georgia" w:hAnsi="Georgia" w:cs="Georgia" w:eastAsia="Georgia"/>
      <w:i/>
      <w:iCs/>
      <w:color w:val="666666"/>
      <w:sz w:val="48"/>
      <w:szCs w:val="48"/>
    </w:rPr>
    <w:pPr>
      <w:keepLines/>
      <w:keepNext/>
      <w:spacing w:after="80" w:before="360"/>
    </w:pPr>
  </w:style>
  <w:style w:type="table" w:styleId="909" w:customStyle="1">
    <w:name w:val="StGen8"/>
    <w:basedOn w:val="887"/>
    <w:tblPr>
      <w:tblStyleRowBandSize w:val="1"/>
      <w:tblStyleColBandSize w:val="1"/>
      <w:tblCellMar>
        <w:left w:w="55" w:type="dxa"/>
        <w:top w:w="55" w:type="dxa"/>
        <w:right w:w="55" w:type="dxa"/>
        <w:bottom w:w="55" w:type="dxa"/>
      </w:tblCellMar>
    </w:tblPr>
  </w:style>
  <w:style w:type="table" w:styleId="910" w:customStyle="1">
    <w:name w:val="StGen9"/>
    <w:basedOn w:val="887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StGen10"/>
    <w:basedOn w:val="88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2" w:customStyle="1">
    <w:name w:val="StGen11"/>
    <w:basedOn w:val="887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mailto:contactenos@idartes.gov.co" TargetMode="External"/><Relationship Id="rId13" Type="http://schemas.openxmlformats.org/officeDocument/2006/relationships/hyperlink" Target="mailto:cdi.bunidos@gobiernobogota.gov.co" TargetMode="External"/><Relationship Id="rId14" Type="http://schemas.openxmlformats.org/officeDocument/2006/relationships/hyperlink" Target="https://www.alcaldiabogota.gov.co/sisjur//normas/Norma1.jsp?i=4124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www.culturarecreacionydeporte.gov.co/" TargetMode="External"/><Relationship Id="rId2" Type="http://schemas.openxmlformats.org/officeDocument/2006/relationships/image" Target="media/image2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ONLYOFFICE/6.2.1.24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Andrade Flórez</dc:creator>
  <cp:lastModifiedBy>Anónimo</cp:lastModifiedBy>
  <cp:revision>3</cp:revision>
  <dcterms:created xsi:type="dcterms:W3CDTF">2026-09-07T23:33:00Z</dcterms:created>
  <dcterms:modified xsi:type="dcterms:W3CDTF">2026-09-14T17:34:45Z</dcterms:modified>
</cp:coreProperties>
</file>